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07BE" w:rsidRDefault="00000000">
      <w:pPr>
        <w:pStyle w:val="Header"/>
        <w:tabs>
          <w:tab w:val="right" w:pos="9214"/>
        </w:tabs>
        <w:jc w:val="center"/>
        <w:rPr>
          <w:b/>
          <w:bCs/>
          <w:sz w:val="21"/>
          <w:szCs w:val="21"/>
        </w:rPr>
      </w:pPr>
      <w:r>
        <w:rPr>
          <w:noProof/>
        </w:rPr>
        <w:drawing>
          <wp:anchor distT="0" distB="0" distL="114300" distR="114300" simplePos="0" relativeHeight="2" behindDoc="0" locked="0" layoutInCell="0" allowOverlap="1">
            <wp:simplePos x="0" y="0"/>
            <wp:positionH relativeFrom="column">
              <wp:posOffset>-897890</wp:posOffset>
            </wp:positionH>
            <wp:positionV relativeFrom="paragraph">
              <wp:posOffset>-902970</wp:posOffset>
            </wp:positionV>
            <wp:extent cx="7543800" cy="1136650"/>
            <wp:effectExtent l="0" t="0" r="0" b="0"/>
            <wp:wrapSquare wrapText="bothSides"/>
            <wp:docPr id="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r:embed="rId7"/>
                    <a:srcRect l="-10" t="-66" r="-10" b="-66"/>
                    <a:stretch>
                      <a:fillRect/>
                    </a:stretch>
                  </pic:blipFill>
                  <pic:spPr bwMode="auto">
                    <a:xfrm>
                      <a:off x="0" y="0"/>
                      <a:ext cx="7543800" cy="1136650"/>
                    </a:xfrm>
                    <a:prstGeom prst="rect">
                      <a:avLst/>
                    </a:prstGeom>
                  </pic:spPr>
                </pic:pic>
              </a:graphicData>
            </a:graphic>
          </wp:anchor>
        </w:drawing>
      </w:r>
      <w:r>
        <w:rPr>
          <w:b/>
          <w:bCs/>
          <w:sz w:val="21"/>
          <w:szCs w:val="21"/>
        </w:rPr>
        <w:t>BASHKIA TIRANË</w:t>
      </w:r>
    </w:p>
    <w:p w:rsidR="003307BE" w:rsidRDefault="00000000">
      <w:pPr>
        <w:pStyle w:val="Standard"/>
        <w:tabs>
          <w:tab w:val="right" w:pos="9214"/>
        </w:tabs>
        <w:rPr>
          <w:sz w:val="18"/>
          <w:szCs w:val="18"/>
        </w:rPr>
      </w:pPr>
      <w:r>
        <w:rPr>
          <w:sz w:val="18"/>
          <w:szCs w:val="18"/>
        </w:rPr>
        <w:t xml:space="preserve"> </w:t>
      </w:r>
    </w:p>
    <w:p w:rsidR="003307BE" w:rsidRDefault="003307BE">
      <w:pPr>
        <w:pStyle w:val="Standard"/>
        <w:jc w:val="center"/>
        <w:rPr>
          <w:sz w:val="18"/>
          <w:szCs w:val="18"/>
        </w:rPr>
      </w:pPr>
    </w:p>
    <w:p w:rsidR="003307BE" w:rsidRDefault="00000000">
      <w:pPr>
        <w:pStyle w:val="Standard"/>
        <w:tabs>
          <w:tab w:val="left" w:pos="6240"/>
        </w:tabs>
        <w:jc w:val="center"/>
        <w:rPr>
          <w:lang w:val="sr-Latn-CS"/>
        </w:rPr>
      </w:pPr>
      <w:r>
        <w:rPr>
          <w:lang w:val="sr-Latn-CS"/>
        </w:rPr>
        <w:tab/>
        <w:t xml:space="preserve">                                    </w:t>
      </w:r>
      <w:r>
        <w:rPr>
          <w:b/>
          <w:lang w:val="sq-AL"/>
        </w:rPr>
        <w:t>UDHËZUES PËR APLIKANTËT</w:t>
      </w:r>
    </w:p>
    <w:p w:rsidR="003307BE" w:rsidRDefault="003307BE">
      <w:pPr>
        <w:pStyle w:val="Standard"/>
        <w:jc w:val="center"/>
        <w:rPr>
          <w:b/>
          <w:lang w:val="sq-AL"/>
        </w:rPr>
      </w:pPr>
    </w:p>
    <w:p w:rsidR="003307BE" w:rsidRDefault="00000000">
      <w:pPr>
        <w:pStyle w:val="Standard"/>
        <w:jc w:val="center"/>
        <w:rPr>
          <w:sz w:val="20"/>
          <w:szCs w:val="20"/>
          <w:lang w:val="sq-AL"/>
        </w:rPr>
      </w:pPr>
      <w:r>
        <w:rPr>
          <w:sz w:val="22"/>
          <w:szCs w:val="22"/>
          <w:lang w:val="sq-AL"/>
        </w:rPr>
        <w:t>ORGANIZATAT E SHOQËRISË CIVILE (OSHC-TË) NË KUADËR TË THIRRJES SË PESTË PUBLIKE PËR PROJEKT PROPOZIME NË PROGRAMIN RAJONAL PËR DEMOKRACINË VENDORE NË BALLKANIN PERËNDIMOR (ReLOaD)</w:t>
      </w:r>
    </w:p>
    <w:p w:rsidR="003307BE" w:rsidRDefault="003307BE">
      <w:pPr>
        <w:pStyle w:val="Standard"/>
        <w:jc w:val="center"/>
        <w:rPr>
          <w:b/>
          <w:lang w:val="sq-AL"/>
        </w:rPr>
      </w:pPr>
    </w:p>
    <w:p w:rsidR="003307BE" w:rsidRDefault="00000000">
      <w:pPr>
        <w:pStyle w:val="Standard"/>
        <w:jc w:val="center"/>
        <w:rPr>
          <w:b/>
          <w:lang w:val="sq-AL"/>
        </w:rPr>
      </w:pPr>
      <w:r>
        <w:rPr>
          <w:b/>
          <w:lang w:val="sq-AL"/>
        </w:rPr>
        <w:t xml:space="preserve"> </w:t>
      </w:r>
    </w:p>
    <w:p w:rsidR="003307BE" w:rsidRDefault="00000000">
      <w:pPr>
        <w:pStyle w:val="Standard"/>
        <w:jc w:val="both"/>
        <w:rPr>
          <w:bCs/>
          <w:color w:val="000000"/>
          <w:lang w:val="sq-AL"/>
        </w:rPr>
      </w:pPr>
      <w:r>
        <w:rPr>
          <w:bCs/>
          <w:color w:val="000000"/>
          <w:lang w:val="sq-AL"/>
        </w:rPr>
        <w:t>Ky udhëzues synon të ofrojë udhëzime të qarta dhe të sakta për të gjithë aplikantët e mundshëm dhe subjektet e interesuara në procesin e dorëzimit të projekt-propozimeve në bazë të thirrjes publike për organizatat e shoqërisë civile.</w:t>
      </w:r>
    </w:p>
    <w:p w:rsidR="003307BE" w:rsidRDefault="003307BE">
      <w:pPr>
        <w:pStyle w:val="Textbody"/>
        <w:jc w:val="both"/>
        <w:rPr>
          <w:rFonts w:ascii="Times New Roman" w:hAnsi="Times New Roman" w:cs="Times New Roman"/>
          <w:b/>
          <w:bCs/>
          <w:sz w:val="24"/>
          <w:szCs w:val="24"/>
          <w:u w:val="single"/>
          <w:shd w:val="clear" w:color="auto" w:fill="FFFF00"/>
          <w:lang w:val="sq-AL"/>
        </w:rPr>
      </w:pPr>
    </w:p>
    <w:p w:rsidR="003307BE" w:rsidRDefault="00000000">
      <w:pPr>
        <w:pStyle w:val="Standard"/>
        <w:jc w:val="both"/>
        <w:rPr>
          <w:b/>
          <w:lang w:val="sq-AL"/>
        </w:rPr>
      </w:pPr>
      <w:r>
        <w:rPr>
          <w:b/>
          <w:lang w:val="sq-AL"/>
        </w:rPr>
        <w:t>ReLOaD dhe partneriteti me Bashkinë Tiranë</w:t>
      </w:r>
    </w:p>
    <w:p w:rsidR="003307BE" w:rsidRDefault="003307BE">
      <w:pPr>
        <w:pStyle w:val="Standard"/>
        <w:jc w:val="both"/>
        <w:rPr>
          <w:b/>
          <w:lang w:val="sq-AL"/>
        </w:rPr>
      </w:pPr>
    </w:p>
    <w:p w:rsidR="003307BE" w:rsidRDefault="00000000">
      <w:pPr>
        <w:pStyle w:val="Standard"/>
        <w:jc w:val="both"/>
        <w:rPr>
          <w:sz w:val="20"/>
          <w:szCs w:val="20"/>
          <w:lang w:val="sq-AL"/>
        </w:rPr>
      </w:pPr>
      <w:r>
        <w:rPr>
          <w:lang w:val="sq-AL"/>
        </w:rPr>
        <w:t xml:space="preserve">Qëllimi i përgjithshëm i programit ReLOaD është që të fuqizojë demokracitë pjesëmarrëse dhe procesin e integrimit në BE në Ballkanin Perëndimor, duke mbështetur shoqërinë civile që të jetë pjesë e proceseve të vendimmarrjes si dhe duke stimuluar dhe krijuar një mjedis ligjor dhe financiar inkurajues për të. Disa nga rezultatet që projekti </w:t>
      </w:r>
      <w:r>
        <w:rPr>
          <w:b/>
          <w:lang w:val="sq-AL"/>
        </w:rPr>
        <w:t xml:space="preserve">ReLOaD </w:t>
      </w:r>
      <w:r>
        <w:rPr>
          <w:lang w:val="sq-AL"/>
        </w:rPr>
        <w:t>do të arrijë janë:</w:t>
      </w:r>
    </w:p>
    <w:p w:rsidR="003307BE" w:rsidRDefault="003307BE">
      <w:pPr>
        <w:pStyle w:val="Standard"/>
        <w:jc w:val="both"/>
        <w:rPr>
          <w:sz w:val="20"/>
          <w:szCs w:val="20"/>
          <w:lang w:val="sq-AL"/>
        </w:rPr>
      </w:pPr>
    </w:p>
    <w:p w:rsidR="003307BE" w:rsidRDefault="00000000" w:rsidP="00050E29">
      <w:pPr>
        <w:pStyle w:val="Standard"/>
        <w:keepNext/>
        <w:widowControl w:val="0"/>
        <w:numPr>
          <w:ilvl w:val="0"/>
          <w:numId w:val="2"/>
        </w:numPr>
        <w:ind w:right="-14"/>
        <w:jc w:val="both"/>
        <w:rPr>
          <w:lang w:val="sq-AL"/>
        </w:rPr>
      </w:pPr>
      <w:r>
        <w:rPr>
          <w:lang w:val="sq-AL"/>
        </w:rPr>
        <w:t>Bashkitë do të përdorin modele transparente dhe të bazuara në projekte konkrete për financimin e OSHC-ve;</w:t>
      </w:r>
    </w:p>
    <w:p w:rsidR="003307BE" w:rsidRDefault="00000000" w:rsidP="00050E29">
      <w:pPr>
        <w:pStyle w:val="Standard"/>
        <w:keepNext/>
        <w:widowControl w:val="0"/>
        <w:numPr>
          <w:ilvl w:val="0"/>
          <w:numId w:val="11"/>
        </w:numPr>
        <w:ind w:right="-14"/>
        <w:jc w:val="both"/>
        <w:rPr>
          <w:lang w:val="sq-AL"/>
        </w:rPr>
      </w:pPr>
      <w:r>
        <w:rPr>
          <w:lang w:val="sq-AL"/>
        </w:rPr>
        <w:t>OSHC-të do të ofrojnë shërbime të cilat adresojnë nevojat e qytetarëve në bashkitë partnere dhe janë në zbatim të planeve dhe strategjive lokale për zhvillim;</w:t>
      </w:r>
    </w:p>
    <w:p w:rsidR="003307BE" w:rsidRDefault="00000000" w:rsidP="00050E29">
      <w:pPr>
        <w:pStyle w:val="Standard"/>
        <w:keepNext/>
        <w:widowControl w:val="0"/>
        <w:numPr>
          <w:ilvl w:val="0"/>
          <w:numId w:val="12"/>
        </w:numPr>
        <w:ind w:right="-14"/>
        <w:jc w:val="both"/>
        <w:rPr>
          <w:lang w:val="sq-AL"/>
        </w:rPr>
      </w:pPr>
      <w:r>
        <w:rPr>
          <w:lang w:val="sq-AL"/>
        </w:rPr>
        <w:t>Kapacitete të fuqizuara të OSHC-ve dhe njësive të pushtetit vendor për të zbatuar skemat e grantit dhe ofruar projekte cilësore;</w:t>
      </w:r>
    </w:p>
    <w:p w:rsidR="003307BE" w:rsidRDefault="00000000" w:rsidP="00050E29">
      <w:pPr>
        <w:pStyle w:val="Standard"/>
        <w:keepNext/>
        <w:widowControl w:val="0"/>
        <w:numPr>
          <w:ilvl w:val="0"/>
          <w:numId w:val="13"/>
        </w:numPr>
        <w:ind w:right="-14"/>
        <w:jc w:val="both"/>
        <w:rPr>
          <w:lang w:val="sq-AL"/>
        </w:rPr>
      </w:pPr>
      <w:r>
        <w:rPr>
          <w:lang w:val="sq-AL"/>
        </w:rPr>
        <w:t>Përmirësimi i bashkëpunimit rajonal, dialogut, ndarjes së praktikave ndërmjet njësive të pushtetit vendor dhe OSHC-ve në Ballkanin Perëndimor.</w:t>
      </w:r>
    </w:p>
    <w:p w:rsidR="003307BE" w:rsidRDefault="003307BE">
      <w:pPr>
        <w:pStyle w:val="Standard"/>
        <w:jc w:val="both"/>
        <w:rPr>
          <w:lang w:val="sq-AL"/>
        </w:rPr>
      </w:pPr>
    </w:p>
    <w:p w:rsidR="003307BE" w:rsidRDefault="00000000">
      <w:pPr>
        <w:pStyle w:val="Standard"/>
        <w:jc w:val="both"/>
        <w:rPr>
          <w:lang w:val="sq-AL"/>
        </w:rPr>
      </w:pPr>
      <w:r>
        <w:rPr>
          <w:lang w:val="sq-AL"/>
        </w:rPr>
        <w:t>Bashkia Tiranë është partnere e programit ReLOaD dhe si pjesë e këtij programi janë hapur katër thirrje publike për OSHC-të në periudhën 2018-2023.</w:t>
      </w:r>
    </w:p>
    <w:p w:rsidR="003307BE" w:rsidRDefault="003307BE">
      <w:pPr>
        <w:pStyle w:val="Standard"/>
        <w:keepNext/>
        <w:widowControl w:val="0"/>
        <w:ind w:right="-14"/>
        <w:jc w:val="both"/>
        <w:rPr>
          <w:lang w:val="sq-AL"/>
        </w:rPr>
      </w:pPr>
    </w:p>
    <w:p w:rsidR="003307BE" w:rsidRDefault="003307BE">
      <w:pPr>
        <w:pStyle w:val="Standard"/>
        <w:widowControl w:val="0"/>
        <w:ind w:right="-14"/>
        <w:jc w:val="both"/>
        <w:rPr>
          <w:lang w:val="sq-AL"/>
        </w:rPr>
      </w:pPr>
    </w:p>
    <w:p w:rsidR="003307BE" w:rsidRDefault="00000000">
      <w:pPr>
        <w:pStyle w:val="Textbody"/>
        <w:rPr>
          <w:rFonts w:ascii="Times New Roman" w:hAnsi="Times New Roman" w:cs="Times New Roman"/>
          <w:b/>
          <w:bCs/>
          <w:sz w:val="24"/>
          <w:szCs w:val="24"/>
          <w:lang w:val="sq-AL"/>
        </w:rPr>
      </w:pPr>
      <w:r>
        <w:rPr>
          <w:rFonts w:ascii="Times New Roman" w:hAnsi="Times New Roman" w:cs="Times New Roman"/>
          <w:b/>
          <w:bCs/>
          <w:sz w:val="24"/>
          <w:szCs w:val="24"/>
          <w:lang w:val="sq-AL"/>
        </w:rPr>
        <w:t>1. SYNIMI  I THIRRJES PUBLIKE PËR PROJEKT-PROPOZIME DHE PRIORITETET VENDORE</w:t>
      </w:r>
    </w:p>
    <w:p w:rsidR="003307BE" w:rsidRDefault="003307BE">
      <w:pPr>
        <w:pStyle w:val="Textbody"/>
        <w:rPr>
          <w:rFonts w:ascii="Times New Roman" w:hAnsi="Times New Roman" w:cs="Times New Roman"/>
          <w:b/>
          <w:bCs/>
          <w:sz w:val="24"/>
          <w:szCs w:val="24"/>
          <w:u w:val="single"/>
          <w:lang w:val="sq-AL"/>
        </w:rPr>
      </w:pPr>
    </w:p>
    <w:p w:rsidR="003307BE" w:rsidRDefault="00000000">
      <w:pPr>
        <w:pStyle w:val="Standard"/>
        <w:tabs>
          <w:tab w:val="left" w:pos="270"/>
          <w:tab w:val="center" w:pos="8640"/>
        </w:tabs>
        <w:ind w:right="-180"/>
        <w:jc w:val="both"/>
        <w:rPr>
          <w:color w:val="000000"/>
          <w:lang w:val="sq-AL"/>
        </w:rPr>
      </w:pPr>
      <w:r>
        <w:rPr>
          <w:color w:val="000000"/>
          <w:lang w:val="sq-AL"/>
        </w:rPr>
        <w:t>Nëpërmjet kësaj thirrjeje publike synohet forcimi i partneritetit ndërmjet organizatave të shoqërisë civile dhe njësive të pushtetit vendor. Kjo do të arrihet nëpërmjet zbatimit të projekteve nga OSHC-të për të ofruar shërbime më të mira për qytetarët. Në këtë kuadër, ftohen të gjitha OSHC-të e interesuara të dorëzojnë projekt-propozim të cilat adresojnë prioritetet strategjike të Bashkisë Tiranë, si më poshtë:</w:t>
      </w:r>
    </w:p>
    <w:p w:rsidR="003307BE" w:rsidRDefault="003307BE">
      <w:pPr>
        <w:pStyle w:val="ListParagraph"/>
        <w:ind w:left="0"/>
        <w:jc w:val="both"/>
        <w:rPr>
          <w:lang w:val="sq-AL"/>
        </w:rPr>
      </w:pPr>
      <w:bookmarkStart w:id="0" w:name="_Hlk534296812"/>
      <w:bookmarkEnd w:id="0"/>
    </w:p>
    <w:p w:rsidR="003307BE" w:rsidRDefault="00000000">
      <w:pPr>
        <w:pStyle w:val="Standard"/>
        <w:jc w:val="both"/>
        <w:rPr>
          <w:b/>
          <w:bCs/>
          <w:lang w:val="sq-AL"/>
        </w:rPr>
      </w:pPr>
      <w:r>
        <w:rPr>
          <w:b/>
          <w:bCs/>
          <w:lang w:val="sq-AL"/>
        </w:rPr>
        <w:t>Prioritet 1 – Përshtatja dhe zbutja e ndryshimeve klimatike</w:t>
      </w:r>
    </w:p>
    <w:p w:rsidR="003307BE" w:rsidRDefault="003307BE">
      <w:pPr>
        <w:pStyle w:val="Standard"/>
        <w:jc w:val="both"/>
        <w:rPr>
          <w:lang w:val="sq-AL"/>
        </w:rPr>
      </w:pPr>
    </w:p>
    <w:p w:rsidR="003307BE" w:rsidRDefault="00000000">
      <w:pPr>
        <w:pStyle w:val="Standard"/>
        <w:jc w:val="both"/>
        <w:rPr>
          <w:b/>
          <w:bCs/>
          <w:lang w:val="sq-AL"/>
        </w:rPr>
      </w:pPr>
      <w:r>
        <w:rPr>
          <w:b/>
          <w:bCs/>
          <w:lang w:val="sq-AL"/>
        </w:rPr>
        <w:t>Prioritet 2 – Demokracia pjesëmarrëse në nivel vendor</w:t>
      </w:r>
    </w:p>
    <w:p w:rsidR="003307BE" w:rsidRDefault="003307BE">
      <w:pPr>
        <w:pStyle w:val="Standard"/>
        <w:jc w:val="both"/>
        <w:rPr>
          <w:lang w:val="sq-AL"/>
        </w:rPr>
      </w:pPr>
    </w:p>
    <w:p w:rsidR="003307BE" w:rsidRDefault="00000000">
      <w:pPr>
        <w:pStyle w:val="Standard"/>
        <w:jc w:val="both"/>
        <w:rPr>
          <w:b/>
          <w:bCs/>
          <w:lang w:val="sq-AL"/>
        </w:rPr>
      </w:pPr>
      <w:r>
        <w:rPr>
          <w:b/>
          <w:bCs/>
          <w:lang w:val="sq-AL"/>
        </w:rPr>
        <w:t>Prioritet 3 – Fuqizimi i të rinjve dhe migrantëve</w:t>
      </w:r>
    </w:p>
    <w:p w:rsidR="003307BE" w:rsidRDefault="003307BE">
      <w:pPr>
        <w:pStyle w:val="Standard"/>
        <w:jc w:val="both"/>
        <w:rPr>
          <w:lang w:val="sq-AL"/>
        </w:rPr>
      </w:pPr>
    </w:p>
    <w:p w:rsidR="003307BE" w:rsidRDefault="00000000">
      <w:pPr>
        <w:pStyle w:val="Standard"/>
        <w:jc w:val="both"/>
        <w:rPr>
          <w:sz w:val="20"/>
          <w:szCs w:val="20"/>
          <w:lang w:val="sq-AL"/>
        </w:rPr>
      </w:pPr>
      <w:r>
        <w:rPr>
          <w:bCs/>
          <w:lang w:val="sq-AL"/>
        </w:rPr>
        <w:t xml:space="preserve">Këto prioritete janë vendosur bazuar në propozimet e Bashkisë Tiranë dhe konsultimit me organizatat e shoqërisë civile në takimin e zhvilluar më 15.02.2024. </w:t>
      </w:r>
      <w:r>
        <w:rPr>
          <w:bCs/>
          <w:color w:val="000000"/>
          <w:lang w:val="sq-AL"/>
        </w:rPr>
        <w:t>Fondet do t’i alokohen  organizatave të shoqërisë civile projektet e të cilave kontribuojnë në zgjidhjen e një apo më shumë përparësive, si edhe plotësojnë kriteret e cilësisë dhe kriteret e përmendura në këtë udhëzues.</w:t>
      </w:r>
    </w:p>
    <w:p w:rsidR="003307BE" w:rsidRDefault="003307BE">
      <w:pPr>
        <w:pStyle w:val="Standard"/>
        <w:jc w:val="both"/>
        <w:rPr>
          <w:bCs/>
          <w:lang w:val="sq-AL"/>
        </w:rPr>
      </w:pPr>
    </w:p>
    <w:p w:rsidR="003307BE" w:rsidRDefault="00000000">
      <w:pPr>
        <w:pStyle w:val="Standard"/>
        <w:rPr>
          <w:b/>
          <w:bCs/>
          <w:lang w:val="sq-AL"/>
        </w:rPr>
      </w:pPr>
      <w:r>
        <w:rPr>
          <w:b/>
          <w:bCs/>
          <w:lang w:val="sq-AL"/>
        </w:rPr>
        <w:t>2.  FONDET (GRANTET) QË JANË NË DISPOZICION PËR PROJEKTE</w:t>
      </w:r>
    </w:p>
    <w:p w:rsidR="003307BE" w:rsidRDefault="003307BE">
      <w:pPr>
        <w:pStyle w:val="Standard"/>
        <w:snapToGrid w:val="0"/>
        <w:jc w:val="both"/>
        <w:rPr>
          <w:b/>
          <w:bCs/>
          <w:lang w:val="sq-AL"/>
        </w:rPr>
      </w:pPr>
    </w:p>
    <w:p w:rsidR="003307BE" w:rsidRDefault="00000000">
      <w:pPr>
        <w:pStyle w:val="Standard"/>
        <w:snapToGrid w:val="0"/>
        <w:jc w:val="both"/>
        <w:rPr>
          <w:bCs/>
          <w:lang w:val="sq-AL"/>
        </w:rPr>
      </w:pPr>
      <w:r>
        <w:rPr>
          <w:bCs/>
          <w:lang w:val="sq-AL"/>
        </w:rPr>
        <w:t>Vlera e granteve që ndahen si pjesë e kësaj thirrjeje publike duhet të jetë në mes të shumave minimale dhe maksimale si më poshtë:</w:t>
      </w:r>
    </w:p>
    <w:p w:rsidR="003307BE" w:rsidRDefault="003307BE">
      <w:pPr>
        <w:pStyle w:val="Standard"/>
        <w:snapToGrid w:val="0"/>
        <w:jc w:val="both"/>
        <w:rPr>
          <w:bCs/>
          <w:lang w:val="sq-AL"/>
        </w:rPr>
      </w:pPr>
    </w:p>
    <w:p w:rsidR="003307BE" w:rsidRDefault="00000000" w:rsidP="00050E29">
      <w:pPr>
        <w:pStyle w:val="Standard"/>
        <w:numPr>
          <w:ilvl w:val="0"/>
          <w:numId w:val="3"/>
        </w:numPr>
        <w:snapToGrid w:val="0"/>
        <w:jc w:val="both"/>
        <w:rPr>
          <w:sz w:val="20"/>
          <w:szCs w:val="20"/>
          <w:lang w:val="sq-AL"/>
        </w:rPr>
      </w:pPr>
      <w:r>
        <w:rPr>
          <w:bCs/>
          <w:lang w:val="sq-AL"/>
        </w:rPr>
        <w:t>shuma minimale:      500.000 Lekë</w:t>
      </w:r>
    </w:p>
    <w:p w:rsidR="003307BE" w:rsidRDefault="00000000" w:rsidP="00050E29">
      <w:pPr>
        <w:pStyle w:val="Standard"/>
        <w:numPr>
          <w:ilvl w:val="0"/>
          <w:numId w:val="14"/>
        </w:numPr>
        <w:snapToGrid w:val="0"/>
        <w:jc w:val="both"/>
        <w:rPr>
          <w:sz w:val="20"/>
          <w:szCs w:val="20"/>
          <w:lang w:val="sq-AL"/>
        </w:rPr>
      </w:pPr>
      <w:r>
        <w:rPr>
          <w:bCs/>
          <w:lang w:val="sq-AL"/>
        </w:rPr>
        <w:t>shuma maksimale:    1.500.000 Lekë</w:t>
      </w:r>
    </w:p>
    <w:p w:rsidR="003307BE" w:rsidRDefault="003307BE">
      <w:pPr>
        <w:pStyle w:val="Standard"/>
        <w:snapToGrid w:val="0"/>
        <w:jc w:val="both"/>
        <w:rPr>
          <w:bCs/>
          <w:lang w:val="sq-AL"/>
        </w:rPr>
      </w:pPr>
    </w:p>
    <w:p w:rsidR="003307BE" w:rsidRDefault="00000000">
      <w:pPr>
        <w:pStyle w:val="Standard"/>
        <w:snapToGrid w:val="0"/>
        <w:jc w:val="both"/>
        <w:rPr>
          <w:sz w:val="20"/>
          <w:szCs w:val="20"/>
          <w:lang w:val="sq-AL"/>
        </w:rPr>
      </w:pPr>
      <w:r>
        <w:rPr>
          <w:lang w:val="sq-AL"/>
        </w:rPr>
        <w:t>OSHC-të të cilat kanë qënë partnere në thirrjet e kaluara ReLOaD mund të aplikojnë, por vlera totale e përfituar nga thirrjet ReLOaD në Bashkinë Tiranë nuk duhet të kalojë 5.000.000 Lekë. Programi ReLOaD synon rritjen e kapaciteteve të OSHC-ve dhe ofron mbështetje për organizatat e reja.</w:t>
      </w:r>
    </w:p>
    <w:p w:rsidR="003307BE" w:rsidRDefault="003307BE">
      <w:pPr>
        <w:pStyle w:val="Standard"/>
        <w:snapToGrid w:val="0"/>
        <w:jc w:val="both"/>
        <w:rPr>
          <w:bCs/>
          <w:lang w:val="sq-AL"/>
        </w:rPr>
      </w:pPr>
    </w:p>
    <w:p w:rsidR="003307BE" w:rsidRDefault="00000000">
      <w:pPr>
        <w:pStyle w:val="Standard"/>
        <w:snapToGrid w:val="0"/>
        <w:jc w:val="both"/>
        <w:rPr>
          <w:lang w:val="sq-AL"/>
        </w:rPr>
      </w:pPr>
      <w:r>
        <w:rPr>
          <w:lang w:val="sq-AL"/>
        </w:rPr>
        <w:t>Grantet e alokuara në këtë thirrje publike mund të mbulojnë shpenzimet administrative dhe shpenzimet e personelit deri në masën 30% të shumës së kërkuar. Ndërsa, pjesa tjetër prej 70% të fondeve, duhet të parashikohen për aktivitete programore të projektit.</w:t>
      </w:r>
    </w:p>
    <w:p w:rsidR="003307BE" w:rsidRDefault="003307BE">
      <w:pPr>
        <w:pStyle w:val="Standard"/>
        <w:snapToGrid w:val="0"/>
        <w:jc w:val="both"/>
        <w:rPr>
          <w:lang w:val="sq-AL"/>
        </w:rPr>
      </w:pPr>
    </w:p>
    <w:p w:rsidR="003307BE" w:rsidRDefault="00000000">
      <w:pPr>
        <w:pStyle w:val="Standard"/>
        <w:snapToGrid w:val="0"/>
        <w:jc w:val="both"/>
        <w:rPr>
          <w:lang w:val="sq-AL"/>
        </w:rPr>
      </w:pPr>
      <w:r>
        <w:rPr>
          <w:lang w:val="sq-AL"/>
        </w:rPr>
        <w:t>Ndërkohë, jo më shumë se 50% e vlerës totale mund të parashikohet për blerje pajisjesh dhe/ose rikonstruksione/infrastrukturë, në rastet kur ato janë të domosdoshme për realizimin e qëllimit të projekt-propozimit.</w:t>
      </w:r>
    </w:p>
    <w:p w:rsidR="003307BE" w:rsidRDefault="003307BE">
      <w:pPr>
        <w:pStyle w:val="Standard"/>
        <w:snapToGrid w:val="0"/>
        <w:jc w:val="both"/>
        <w:rPr>
          <w:lang w:val="sq-AL"/>
        </w:rPr>
      </w:pPr>
    </w:p>
    <w:p w:rsidR="003307BE" w:rsidRDefault="00000000">
      <w:pPr>
        <w:pStyle w:val="Standard"/>
        <w:snapToGrid w:val="0"/>
        <w:jc w:val="both"/>
        <w:rPr>
          <w:lang w:val="sq-AL"/>
        </w:rPr>
      </w:pPr>
      <w:r>
        <w:rPr>
          <w:lang w:val="sq-AL"/>
        </w:rPr>
        <w:t>Për secilin projekt, 3-5% e vlerës totale të propozuar duhet të parashikohet për aktivitete që lidhen me dukshmërinë/vizibilitetin.</w:t>
      </w:r>
    </w:p>
    <w:p w:rsidR="003307BE" w:rsidRDefault="003307BE">
      <w:pPr>
        <w:pStyle w:val="Standard"/>
        <w:snapToGrid w:val="0"/>
        <w:jc w:val="both"/>
        <w:rPr>
          <w:sz w:val="20"/>
          <w:szCs w:val="20"/>
          <w:lang w:val="sq-AL"/>
        </w:rPr>
      </w:pPr>
    </w:p>
    <w:p w:rsidR="003307BE" w:rsidRDefault="00000000">
      <w:pPr>
        <w:pStyle w:val="Standard"/>
        <w:snapToGrid w:val="0"/>
        <w:jc w:val="both"/>
        <w:rPr>
          <w:sz w:val="20"/>
          <w:szCs w:val="20"/>
          <w:lang w:val="sq-AL"/>
        </w:rPr>
      </w:pPr>
      <w:r>
        <w:rPr>
          <w:bCs/>
          <w:lang w:val="sq-AL"/>
        </w:rPr>
        <w:t xml:space="preserve">Totali i parashikuar nga </w:t>
      </w:r>
      <w:r>
        <w:rPr>
          <w:lang w:val="sq-AL"/>
        </w:rPr>
        <w:t xml:space="preserve"> Bashkia Tiranë për këtë thirrje është: 7.000.000 Lekë</w:t>
      </w:r>
      <w:r>
        <w:rPr>
          <w:rFonts w:cs="Arial"/>
          <w:color w:val="222222"/>
          <w:shd w:val="clear" w:color="auto" w:fill="FFFFFF"/>
          <w:lang w:val="sq-AL"/>
        </w:rPr>
        <w:t>.</w:t>
      </w:r>
    </w:p>
    <w:p w:rsidR="003307BE" w:rsidRDefault="00000000">
      <w:pPr>
        <w:pStyle w:val="Standard"/>
        <w:snapToGrid w:val="0"/>
        <w:jc w:val="both"/>
        <w:rPr>
          <w:lang w:val="sq-AL"/>
        </w:rPr>
      </w:pPr>
      <w:r>
        <w:rPr>
          <w:lang w:val="sq-AL"/>
        </w:rPr>
        <w:t>Bashkia ka të të drejtën për të mos ndarë të gjitha fondet në dispozicion nëse projekt-propozimet që dorëzohen nga OSHC-të nuk i përmbushin kriteret e kërkuara.</w:t>
      </w:r>
    </w:p>
    <w:p w:rsidR="003307BE" w:rsidRDefault="003307BE">
      <w:pPr>
        <w:pStyle w:val="Standard"/>
        <w:snapToGrid w:val="0"/>
        <w:jc w:val="both"/>
        <w:rPr>
          <w:sz w:val="20"/>
          <w:szCs w:val="20"/>
          <w:lang w:val="sq-AL"/>
        </w:rPr>
      </w:pPr>
    </w:p>
    <w:p w:rsidR="003307BE" w:rsidRDefault="003307BE">
      <w:pPr>
        <w:pStyle w:val="Standard"/>
        <w:ind w:left="1080"/>
        <w:rPr>
          <w:sz w:val="20"/>
          <w:szCs w:val="20"/>
          <w:lang w:val="sq-AL"/>
        </w:rPr>
      </w:pPr>
    </w:p>
    <w:p w:rsidR="003307BE" w:rsidRDefault="00000000">
      <w:pPr>
        <w:pStyle w:val="Standard"/>
        <w:rPr>
          <w:b/>
          <w:bCs/>
          <w:lang w:val="sq-AL"/>
        </w:rPr>
      </w:pPr>
      <w:r>
        <w:rPr>
          <w:b/>
          <w:bCs/>
          <w:lang w:val="sq-AL"/>
        </w:rPr>
        <w:t>3. KUSH MUND TË APLIKOJË</w:t>
      </w:r>
    </w:p>
    <w:p w:rsidR="003307BE" w:rsidRDefault="003307BE">
      <w:pPr>
        <w:pStyle w:val="Standard"/>
        <w:rPr>
          <w:b/>
          <w:bCs/>
          <w:lang w:val="sq-AL"/>
        </w:rPr>
      </w:pPr>
    </w:p>
    <w:p w:rsidR="003307BE" w:rsidRDefault="00000000">
      <w:pPr>
        <w:pStyle w:val="Standard"/>
        <w:jc w:val="both"/>
        <w:rPr>
          <w:sz w:val="20"/>
          <w:szCs w:val="20"/>
          <w:lang w:val="sq-AL"/>
        </w:rPr>
      </w:pPr>
      <w:r>
        <w:rPr>
          <w:color w:val="000000"/>
          <w:lang w:val="sq-AL"/>
        </w:rPr>
        <w:t>Pjesëmarrja në këtë thirrje publike është e hapur dhe e barabartë për OSHC-të (shoqatat ose fondacionet) që janë zyrtarisht të regjistruara dhe në përputhje me dispozitat ligjore në fuqi n</w:t>
      </w:r>
      <w:r>
        <w:rPr>
          <w:bCs/>
          <w:lang w:val="sq-AL"/>
        </w:rPr>
        <w:t>ë Shqipëri</w:t>
      </w:r>
      <w:r>
        <w:rPr>
          <w:color w:val="000000"/>
          <w:lang w:val="sq-AL"/>
        </w:rPr>
        <w:t>.</w:t>
      </w:r>
    </w:p>
    <w:p w:rsidR="003307BE" w:rsidRDefault="003307BE">
      <w:pPr>
        <w:pStyle w:val="Standard"/>
        <w:jc w:val="both"/>
        <w:rPr>
          <w:bCs/>
          <w:color w:val="000000"/>
          <w:lang w:val="sq-AL"/>
        </w:rPr>
      </w:pPr>
    </w:p>
    <w:p w:rsidR="003307BE" w:rsidRDefault="00000000">
      <w:pPr>
        <w:pStyle w:val="Standard"/>
        <w:jc w:val="both"/>
        <w:rPr>
          <w:bCs/>
          <w:lang w:val="sq-AL"/>
        </w:rPr>
      </w:pPr>
      <w:r>
        <w:rPr>
          <w:bCs/>
          <w:lang w:val="sq-AL"/>
        </w:rPr>
        <w:t>OSHC-të do të përjashtohen nga pjesëmarrja në thirrje apo nga ndarja e granteve nëse në kohën e dorëzimit të projekt propozimeve:</w:t>
      </w:r>
    </w:p>
    <w:p w:rsidR="003307BE" w:rsidRDefault="003307BE">
      <w:pPr>
        <w:pStyle w:val="Standard"/>
        <w:jc w:val="both"/>
        <w:rPr>
          <w:bCs/>
          <w:lang w:val="sq-AL"/>
        </w:rPr>
      </w:pPr>
    </w:p>
    <w:p w:rsidR="003307BE" w:rsidRDefault="00000000" w:rsidP="00050E29">
      <w:pPr>
        <w:pStyle w:val="Standard"/>
        <w:numPr>
          <w:ilvl w:val="0"/>
          <w:numId w:val="4"/>
        </w:numPr>
        <w:jc w:val="both"/>
        <w:rPr>
          <w:bCs/>
          <w:lang w:val="sq-AL"/>
        </w:rPr>
      </w:pPr>
      <w:r>
        <w:rPr>
          <w:bCs/>
          <w:lang w:val="sq-AL"/>
        </w:rPr>
        <w:t>janë degë/zyra të organizatave dhe fondacioneve ndërkombëtare, dhe organizatat të tjera ndërkombëtare jo-fitimprurëse të regjistruara për të punuar në Shqipëri;</w:t>
      </w:r>
    </w:p>
    <w:p w:rsidR="003307BE" w:rsidRDefault="00000000" w:rsidP="00050E29">
      <w:pPr>
        <w:pStyle w:val="Standard"/>
        <w:numPr>
          <w:ilvl w:val="0"/>
          <w:numId w:val="15"/>
        </w:numPr>
        <w:jc w:val="both"/>
        <w:rPr>
          <w:sz w:val="20"/>
          <w:szCs w:val="20"/>
          <w:lang w:val="sq-AL"/>
        </w:rPr>
      </w:pPr>
      <w:r>
        <w:rPr>
          <w:bCs/>
          <w:lang w:val="sq-AL"/>
        </w:rPr>
        <w:t xml:space="preserve">janë subjekt i ndonjë konflikti të interesit, sikurse parashikuar në dispozitat e Ligjit nr. 9367, datë 7.4.2005, i ndryshuar “Për parandalimin e konfliktit të interesave në ushtrimin e funksioneve publike”. Më konkretisht, përjashtohen nga vlerësimi ato projekte, në të cilat: </w:t>
      </w:r>
      <w:r>
        <w:rPr>
          <w:bCs/>
          <w:i/>
          <w:lang w:val="sq-AL"/>
        </w:rPr>
        <w:t>Drejtori ekzekutiv, anëtarët e bordit apo personat e planifikuar për tu përfshirë në projekt janë të punësuar në bashkinë apo institucionet e saj të vartësisë në të cilën aplikohet, në pozicionet:</w:t>
      </w:r>
      <w:r>
        <w:rPr>
          <w:rFonts w:cs="Verdana"/>
          <w:i/>
          <w:color w:val="000000"/>
          <w:sz w:val="18"/>
          <w:szCs w:val="18"/>
          <w:shd w:val="clear" w:color="auto" w:fill="FFFFFF"/>
          <w:lang w:val="sq-AL"/>
        </w:rPr>
        <w:t xml:space="preserve"> </w:t>
      </w:r>
      <w:r>
        <w:rPr>
          <w:bCs/>
          <w:i/>
          <w:lang w:val="sq-AL"/>
        </w:rPr>
        <w:t>Zyrtari i nivelit të lartë dhe të mesëm drejtues sipas legjislacionit të shërbimit civil</w:t>
      </w:r>
      <w:r>
        <w:rPr>
          <w:rStyle w:val="FootnoteAnchor"/>
          <w:bCs/>
          <w:lang w:val="sq-AL"/>
        </w:rPr>
        <w:footnoteReference w:id="1"/>
      </w:r>
      <w:r>
        <w:rPr>
          <w:bCs/>
          <w:i/>
          <w:lang w:val="sq-AL"/>
        </w:rPr>
        <w:t xml:space="preserve"> si dhe anëtar i Këshillit Bashkiak, anëtar i kabinetit të Kryetarit të Bashkisë.</w:t>
      </w:r>
    </w:p>
    <w:p w:rsidR="003307BE" w:rsidRDefault="00000000" w:rsidP="00050E29">
      <w:pPr>
        <w:pStyle w:val="Standard"/>
        <w:numPr>
          <w:ilvl w:val="0"/>
          <w:numId w:val="16"/>
        </w:numPr>
        <w:jc w:val="both"/>
        <w:rPr>
          <w:sz w:val="20"/>
          <w:szCs w:val="20"/>
          <w:lang w:val="sq-AL"/>
        </w:rPr>
      </w:pPr>
      <w:r>
        <w:rPr>
          <w:color w:val="000000"/>
          <w:lang w:val="sq-AL"/>
        </w:rPr>
        <w:t>janë fajtorë për dhënien e informacionit të rremë një pale kontraktuese të autorizuar, që kërkohet si parakusht për pjesëmarrje në thirrjen për dorëzimin e projekt-propozimeve ose nëse nuk dorëzojnë informacionin e kërkuar</w:t>
      </w:r>
      <w:r>
        <w:rPr>
          <w:bCs/>
          <w:lang w:val="sq-AL"/>
        </w:rPr>
        <w:t>;</w:t>
      </w:r>
    </w:p>
    <w:p w:rsidR="003307BE" w:rsidRDefault="00000000" w:rsidP="00050E29">
      <w:pPr>
        <w:pStyle w:val="Standard"/>
        <w:numPr>
          <w:ilvl w:val="0"/>
          <w:numId w:val="17"/>
        </w:numPr>
        <w:jc w:val="both"/>
        <w:rPr>
          <w:sz w:val="20"/>
          <w:szCs w:val="20"/>
          <w:lang w:val="sq-AL"/>
        </w:rPr>
      </w:pPr>
      <w:r>
        <w:rPr>
          <w:color w:val="000000"/>
          <w:lang w:val="sq-AL"/>
        </w:rPr>
        <w:t>janë përpjekur të sigurojnë informacion konfidencial, të ushtrojnë ndikim mbi Komisionin e Vlerësimit ose mbi një palë të autorizuar kontraktuale gjatë procesit të vlerësimit të projekt-propozimit</w:t>
      </w:r>
      <w:r>
        <w:rPr>
          <w:bCs/>
          <w:lang w:val="sq-AL"/>
        </w:rPr>
        <w:t>;</w:t>
      </w:r>
    </w:p>
    <w:p w:rsidR="003307BE" w:rsidRDefault="00000000" w:rsidP="00050E29">
      <w:pPr>
        <w:pStyle w:val="Standard"/>
        <w:numPr>
          <w:ilvl w:val="0"/>
          <w:numId w:val="18"/>
        </w:numPr>
        <w:jc w:val="both"/>
        <w:rPr>
          <w:bCs/>
          <w:lang w:val="sq-AL"/>
        </w:rPr>
      </w:pPr>
      <w:r>
        <w:rPr>
          <w:bCs/>
          <w:lang w:val="sq-AL"/>
        </w:rPr>
        <w:t>nuk kanë dorëzuar të gjitha dokumentet e nevojshme sipas pikës 9;</w:t>
      </w:r>
    </w:p>
    <w:p w:rsidR="003307BE" w:rsidRDefault="00000000" w:rsidP="00050E29">
      <w:pPr>
        <w:pStyle w:val="Standard"/>
        <w:numPr>
          <w:ilvl w:val="0"/>
          <w:numId w:val="19"/>
        </w:numPr>
        <w:jc w:val="both"/>
        <w:rPr>
          <w:sz w:val="20"/>
          <w:szCs w:val="20"/>
          <w:lang w:val="sq-AL"/>
        </w:rPr>
      </w:pPr>
      <w:r>
        <w:rPr>
          <w:bCs/>
          <w:lang w:val="sq-AL"/>
        </w:rPr>
        <w:t>vlera e buxhetit të propozuar është më e ulët se shuma minimale prej 500.000 Lekë ose më e lartë nga shuma maksimale prej 1.500.000 Lekë;</w:t>
      </w:r>
    </w:p>
    <w:p w:rsidR="003307BE" w:rsidRDefault="00000000" w:rsidP="00050E29">
      <w:pPr>
        <w:pStyle w:val="Standard"/>
        <w:numPr>
          <w:ilvl w:val="0"/>
          <w:numId w:val="20"/>
        </w:numPr>
        <w:rPr>
          <w:bCs/>
          <w:lang w:val="sq-AL"/>
        </w:rPr>
      </w:pPr>
      <w:r>
        <w:rPr>
          <w:bCs/>
          <w:lang w:val="sq-AL"/>
        </w:rPr>
        <w:t>kohëzgjatja e propozuar e projektit është më e shkurtër se 4 muaj ose më e gjatë se 8 muaj;</w:t>
      </w:r>
    </w:p>
    <w:p w:rsidR="003307BE" w:rsidRDefault="00000000" w:rsidP="00050E29">
      <w:pPr>
        <w:pStyle w:val="Standard"/>
        <w:numPr>
          <w:ilvl w:val="0"/>
          <w:numId w:val="21"/>
        </w:numPr>
        <w:rPr>
          <w:sz w:val="20"/>
          <w:szCs w:val="20"/>
          <w:lang w:val="sq-AL"/>
        </w:rPr>
      </w:pPr>
      <w:r>
        <w:rPr>
          <w:bCs/>
          <w:lang w:val="sq-AL"/>
        </w:rPr>
        <w:t>organizata ka qënë partnere e ReLOaD në thirrjen e kaluara dhe fondi total i përfituar në projekte e kaluara dhe projekt-propozimin e paraqitur tejkalon vlerën 5.000.000 Lekë.</w:t>
      </w:r>
    </w:p>
    <w:p w:rsidR="003307BE" w:rsidRDefault="003307BE">
      <w:pPr>
        <w:pStyle w:val="Standard"/>
        <w:rPr>
          <w:bCs/>
          <w:lang w:val="sq-AL"/>
        </w:rPr>
      </w:pPr>
    </w:p>
    <w:p w:rsidR="003307BE" w:rsidRDefault="00000000">
      <w:pPr>
        <w:pStyle w:val="Standard"/>
        <w:tabs>
          <w:tab w:val="left" w:pos="270"/>
          <w:tab w:val="center" w:pos="8640"/>
        </w:tabs>
        <w:ind w:right="-180"/>
        <w:rPr>
          <w:b/>
          <w:lang w:val="sq-AL"/>
        </w:rPr>
      </w:pPr>
      <w:r>
        <w:rPr>
          <w:b/>
          <w:lang w:val="sq-AL"/>
        </w:rPr>
        <w:t>4 . KOHËZGJATJA</w:t>
      </w:r>
    </w:p>
    <w:p w:rsidR="003307BE" w:rsidRDefault="003307BE">
      <w:pPr>
        <w:pStyle w:val="Standard"/>
        <w:rPr>
          <w:b/>
          <w:bCs/>
          <w:u w:val="single"/>
          <w:lang w:val="sq-AL"/>
        </w:rPr>
      </w:pPr>
    </w:p>
    <w:p w:rsidR="003307BE" w:rsidRDefault="00000000">
      <w:pPr>
        <w:pStyle w:val="Standard"/>
        <w:jc w:val="both"/>
        <w:rPr>
          <w:bCs/>
          <w:lang w:val="sq-AL"/>
        </w:rPr>
      </w:pPr>
      <w:r>
        <w:rPr>
          <w:bCs/>
          <w:lang w:val="sq-AL"/>
        </w:rPr>
        <w:t>Kohëzgjatja e projekt – propozimit mund të jetë nga 4 deri në 8 muaj.</w:t>
      </w:r>
    </w:p>
    <w:p w:rsidR="003307BE" w:rsidRDefault="003307BE">
      <w:pPr>
        <w:pStyle w:val="Standard"/>
        <w:jc w:val="both"/>
        <w:rPr>
          <w:bCs/>
          <w:lang w:val="sq-AL"/>
        </w:rPr>
      </w:pPr>
    </w:p>
    <w:p w:rsidR="003307BE" w:rsidRDefault="00000000">
      <w:pPr>
        <w:pStyle w:val="ListParagraph"/>
        <w:spacing w:after="160"/>
        <w:ind w:left="0"/>
        <w:rPr>
          <w:b/>
          <w:color w:val="000000"/>
          <w:lang w:val="sq-AL"/>
        </w:rPr>
      </w:pPr>
      <w:r>
        <w:rPr>
          <w:b/>
          <w:color w:val="000000"/>
          <w:lang w:val="sq-AL"/>
        </w:rPr>
        <w:t>5. VENDI I ZBATIMIT</w:t>
      </w:r>
    </w:p>
    <w:p w:rsidR="003307BE" w:rsidRDefault="00000000">
      <w:pPr>
        <w:pStyle w:val="Standard"/>
        <w:jc w:val="both"/>
        <w:rPr>
          <w:bCs/>
          <w:lang w:val="sq-AL"/>
        </w:rPr>
      </w:pPr>
      <w:r>
        <w:rPr>
          <w:bCs/>
          <w:lang w:val="sq-AL"/>
        </w:rPr>
        <w:t>Projektet duhet të zbatohen vetëm në territorin e Bashkisë Tiranë.</w:t>
      </w:r>
    </w:p>
    <w:p w:rsidR="003307BE" w:rsidRDefault="003307BE">
      <w:pPr>
        <w:pStyle w:val="Standard"/>
        <w:jc w:val="both"/>
        <w:rPr>
          <w:bCs/>
          <w:lang w:val="sq-AL"/>
        </w:rPr>
      </w:pPr>
    </w:p>
    <w:p w:rsidR="003307BE" w:rsidRDefault="00000000">
      <w:pPr>
        <w:pStyle w:val="Standard"/>
        <w:rPr>
          <w:b/>
          <w:bCs/>
          <w:lang w:val="sq-AL"/>
        </w:rPr>
      </w:pPr>
      <w:r>
        <w:rPr>
          <w:b/>
          <w:bCs/>
          <w:lang w:val="sq-AL"/>
        </w:rPr>
        <w:t>6. LLOJET E PROJEKTEVE</w:t>
      </w:r>
    </w:p>
    <w:p w:rsidR="003307BE" w:rsidRDefault="003307BE">
      <w:pPr>
        <w:pStyle w:val="Standard"/>
        <w:rPr>
          <w:b/>
          <w:bCs/>
          <w:u w:val="single"/>
          <w:lang w:val="sq-AL"/>
        </w:rPr>
      </w:pPr>
    </w:p>
    <w:p w:rsidR="003307BE" w:rsidRDefault="00000000" w:rsidP="00050E29">
      <w:pPr>
        <w:pStyle w:val="Standard"/>
        <w:numPr>
          <w:ilvl w:val="0"/>
          <w:numId w:val="5"/>
        </w:numPr>
        <w:jc w:val="both"/>
        <w:rPr>
          <w:bCs/>
          <w:lang w:val="sq-AL"/>
        </w:rPr>
      </w:pPr>
      <w:r>
        <w:rPr>
          <w:bCs/>
          <w:lang w:val="sq-AL"/>
        </w:rPr>
        <w:t>Projekt-propozimet që do të financohen nga kjo thirrje duhet të jenë të përgatitura në përputhje me thirrjen publike dhe prioritetet e Bashkisë Tiranë.</w:t>
      </w:r>
    </w:p>
    <w:p w:rsidR="003307BE" w:rsidRDefault="003307BE">
      <w:pPr>
        <w:pStyle w:val="Standard"/>
        <w:ind w:left="720"/>
        <w:jc w:val="both"/>
        <w:rPr>
          <w:bCs/>
          <w:lang w:val="sq-AL"/>
        </w:rPr>
      </w:pPr>
    </w:p>
    <w:p w:rsidR="003307BE" w:rsidRDefault="00000000" w:rsidP="00050E29">
      <w:pPr>
        <w:pStyle w:val="Standard"/>
        <w:numPr>
          <w:ilvl w:val="0"/>
          <w:numId w:val="22"/>
        </w:numPr>
        <w:jc w:val="both"/>
        <w:rPr>
          <w:bCs/>
          <w:lang w:val="sq-AL"/>
        </w:rPr>
      </w:pPr>
      <w:r>
        <w:rPr>
          <w:bCs/>
          <w:lang w:val="sq-AL"/>
        </w:rPr>
        <w:t>Projektet duhet të ofrojnë zgjidhje për nevojat specifike të komunitetit lokal dhe grupeve të targetuara të identifikuara nga projekti.</w:t>
      </w:r>
    </w:p>
    <w:p w:rsidR="003307BE" w:rsidRDefault="003307BE">
      <w:pPr>
        <w:pStyle w:val="ListParagraph"/>
        <w:rPr>
          <w:b/>
          <w:bCs/>
          <w:lang w:val="sq-AL"/>
        </w:rPr>
      </w:pPr>
    </w:p>
    <w:p w:rsidR="003307BE" w:rsidRDefault="00000000" w:rsidP="00050E29">
      <w:pPr>
        <w:pStyle w:val="Standard"/>
        <w:numPr>
          <w:ilvl w:val="0"/>
          <w:numId w:val="23"/>
        </w:numPr>
        <w:jc w:val="both"/>
        <w:rPr>
          <w:bCs/>
          <w:lang w:val="sq-AL"/>
        </w:rPr>
      </w:pPr>
      <w:r>
        <w:rPr>
          <w:bCs/>
          <w:lang w:val="sq-AL"/>
        </w:rPr>
        <w:t>Projektet duhet të jenë paketa veprimtarish të integruara dhe metodologjike, të krijuara për të arritur qëllime të caktuara dhe rezultate specifike në kuadër të një periudhe të kufizuar kohore.</w:t>
      </w:r>
    </w:p>
    <w:p w:rsidR="003307BE" w:rsidRDefault="003307BE">
      <w:pPr>
        <w:pStyle w:val="Standard"/>
        <w:snapToGrid w:val="0"/>
        <w:jc w:val="both"/>
        <w:rPr>
          <w:bCs/>
          <w:i/>
          <w:lang w:val="sq-AL"/>
        </w:rPr>
      </w:pPr>
    </w:p>
    <w:p w:rsidR="003307BE" w:rsidRDefault="00000000">
      <w:pPr>
        <w:pStyle w:val="Standard"/>
        <w:rPr>
          <w:b/>
          <w:bCs/>
          <w:i/>
          <w:lang w:val="sq-AL"/>
        </w:rPr>
      </w:pPr>
      <w:r>
        <w:rPr>
          <w:b/>
          <w:bCs/>
          <w:i/>
          <w:lang w:val="sq-AL"/>
        </w:rPr>
        <w:t>Aktivitetet në vijim nuk rekomandohen për ndarjen e granteve:</w:t>
      </w:r>
    </w:p>
    <w:p w:rsidR="003307BE" w:rsidRDefault="00000000" w:rsidP="00050E29">
      <w:pPr>
        <w:pStyle w:val="Standard"/>
        <w:numPr>
          <w:ilvl w:val="0"/>
          <w:numId w:val="6"/>
        </w:numPr>
        <w:jc w:val="both"/>
        <w:rPr>
          <w:bCs/>
          <w:lang w:val="sq-AL"/>
        </w:rPr>
      </w:pPr>
      <w:r>
        <w:rPr>
          <w:bCs/>
          <w:lang w:val="sq-AL"/>
        </w:rPr>
        <w:t>Aktivitetet e rregullta të organizatës aplikuese apo organizatës partnere;</w:t>
      </w:r>
    </w:p>
    <w:p w:rsidR="003307BE" w:rsidRDefault="00000000" w:rsidP="00050E29">
      <w:pPr>
        <w:pStyle w:val="Standard"/>
        <w:numPr>
          <w:ilvl w:val="0"/>
          <w:numId w:val="24"/>
        </w:numPr>
        <w:jc w:val="both"/>
        <w:rPr>
          <w:bCs/>
          <w:lang w:val="sq-AL"/>
        </w:rPr>
      </w:pPr>
      <w:r>
        <w:rPr>
          <w:bCs/>
          <w:lang w:val="sq-AL"/>
        </w:rPr>
        <w:t>Sponsorizimet individuale për pjesëmarrje në seminare, konferenca, kongrese;</w:t>
      </w:r>
    </w:p>
    <w:p w:rsidR="003307BE" w:rsidRDefault="00000000" w:rsidP="00050E29">
      <w:pPr>
        <w:pStyle w:val="Standard"/>
        <w:numPr>
          <w:ilvl w:val="0"/>
          <w:numId w:val="25"/>
        </w:numPr>
        <w:jc w:val="both"/>
        <w:rPr>
          <w:bCs/>
          <w:lang w:val="sq-AL"/>
        </w:rPr>
      </w:pPr>
      <w:r>
        <w:rPr>
          <w:bCs/>
          <w:lang w:val="sq-AL"/>
        </w:rPr>
        <w:t>Bursat individuale për studime apo kurse trajnimi;</w:t>
      </w:r>
    </w:p>
    <w:p w:rsidR="003307BE" w:rsidRDefault="00000000" w:rsidP="00050E29">
      <w:pPr>
        <w:pStyle w:val="Standard"/>
        <w:numPr>
          <w:ilvl w:val="0"/>
          <w:numId w:val="26"/>
        </w:numPr>
        <w:jc w:val="both"/>
        <w:rPr>
          <w:bCs/>
          <w:lang w:val="sq-AL"/>
        </w:rPr>
      </w:pPr>
      <w:r>
        <w:rPr>
          <w:bCs/>
          <w:lang w:val="sq-AL"/>
        </w:rPr>
        <w:t>Konferenca të herëpashershme (përveç nëse janë të nevojshme për zbatimin e suksesshëm të projektit);</w:t>
      </w:r>
    </w:p>
    <w:p w:rsidR="003307BE" w:rsidRDefault="00000000" w:rsidP="00050E29">
      <w:pPr>
        <w:pStyle w:val="Standard"/>
        <w:numPr>
          <w:ilvl w:val="0"/>
          <w:numId w:val="27"/>
        </w:numPr>
        <w:jc w:val="both"/>
        <w:rPr>
          <w:bCs/>
          <w:lang w:val="sq-AL"/>
        </w:rPr>
      </w:pPr>
      <w:r>
        <w:rPr>
          <w:bCs/>
          <w:lang w:val="sq-AL"/>
        </w:rPr>
        <w:t>Financimi i projekteve që tanimë janë në proces ose kanë përfunduar;</w:t>
      </w:r>
    </w:p>
    <w:p w:rsidR="003307BE" w:rsidRDefault="00000000" w:rsidP="00050E29">
      <w:pPr>
        <w:pStyle w:val="Standard"/>
        <w:numPr>
          <w:ilvl w:val="0"/>
          <w:numId w:val="28"/>
        </w:numPr>
        <w:jc w:val="both"/>
        <w:rPr>
          <w:bCs/>
          <w:lang w:val="sq-AL"/>
        </w:rPr>
      </w:pPr>
      <w:r>
        <w:rPr>
          <w:bCs/>
          <w:lang w:val="sq-AL"/>
        </w:rPr>
        <w:t>Projektet për përfitime ekskluzive të individëve;</w:t>
      </w:r>
    </w:p>
    <w:p w:rsidR="003307BE" w:rsidRDefault="00000000" w:rsidP="00050E29">
      <w:pPr>
        <w:pStyle w:val="Standard"/>
        <w:numPr>
          <w:ilvl w:val="0"/>
          <w:numId w:val="29"/>
        </w:numPr>
        <w:jc w:val="both"/>
        <w:rPr>
          <w:bCs/>
          <w:lang w:val="sq-AL"/>
        </w:rPr>
      </w:pPr>
      <w:r>
        <w:rPr>
          <w:bCs/>
          <w:lang w:val="sq-AL"/>
        </w:rPr>
        <w:t>Projektet që mbështesin partitë politike;</w:t>
      </w:r>
    </w:p>
    <w:p w:rsidR="003307BE" w:rsidRDefault="00000000" w:rsidP="00050E29">
      <w:pPr>
        <w:pStyle w:val="Standard"/>
        <w:numPr>
          <w:ilvl w:val="0"/>
          <w:numId w:val="30"/>
        </w:numPr>
        <w:jc w:val="both"/>
        <w:rPr>
          <w:bCs/>
          <w:lang w:val="sq-AL"/>
        </w:rPr>
      </w:pPr>
      <w:r>
        <w:rPr>
          <w:bCs/>
          <w:lang w:val="sq-AL"/>
        </w:rPr>
        <w:t>Ndarjen e granteve për palë të treta;</w:t>
      </w:r>
    </w:p>
    <w:p w:rsidR="003307BE" w:rsidRDefault="00000000" w:rsidP="00050E29">
      <w:pPr>
        <w:pStyle w:val="Standard"/>
        <w:numPr>
          <w:ilvl w:val="0"/>
          <w:numId w:val="31"/>
        </w:numPr>
        <w:jc w:val="both"/>
        <w:rPr>
          <w:bCs/>
          <w:lang w:val="sq-AL"/>
        </w:rPr>
      </w:pPr>
      <w:r>
        <w:rPr>
          <w:bCs/>
          <w:lang w:val="sq-AL"/>
        </w:rPr>
        <w:t>Blerja e pajisjeve dhe punët rehabilituese/ndërhyrjet në infrastrukturë përveç rasteve kur janë patjetër të domosdoshme dhe brënda limiteve të shprehura në pikën 2 të Udhëzuesit.</w:t>
      </w:r>
    </w:p>
    <w:p w:rsidR="003307BE" w:rsidRDefault="003307BE">
      <w:pPr>
        <w:pStyle w:val="Standard"/>
        <w:rPr>
          <w:bCs/>
          <w:lang w:val="sq-AL"/>
        </w:rPr>
      </w:pPr>
    </w:p>
    <w:p w:rsidR="003307BE" w:rsidRDefault="00000000">
      <w:pPr>
        <w:pStyle w:val="Standard"/>
        <w:jc w:val="both"/>
        <w:rPr>
          <w:sz w:val="20"/>
          <w:szCs w:val="20"/>
          <w:lang w:val="sq-AL"/>
        </w:rPr>
      </w:pPr>
      <w:r>
        <w:rPr>
          <w:bCs/>
          <w:lang w:val="sq-AL"/>
        </w:rPr>
        <w:t xml:space="preserve">Aktivitet e sipërpërmendura </w:t>
      </w:r>
      <w:r>
        <w:rPr>
          <w:b/>
          <w:bCs/>
          <w:lang w:val="sq-AL"/>
        </w:rPr>
        <w:t xml:space="preserve">NUK </w:t>
      </w:r>
      <w:r>
        <w:rPr>
          <w:bCs/>
          <w:lang w:val="sq-AL"/>
        </w:rPr>
        <w:t>janë shkak për refuzimin automatik të projekt-propozimit, megjithatë do të ndikojnë negativisht në vlerësimin e projekt-propozimit. Gjithashtu, nëse projekt– propozimi aprovohet për financim, aktivitete të tilla dhe fondet e parashikuara për to do të eliminohen.</w:t>
      </w:r>
    </w:p>
    <w:p w:rsidR="003307BE" w:rsidRDefault="003307BE">
      <w:pPr>
        <w:pStyle w:val="Standard"/>
        <w:rPr>
          <w:bCs/>
          <w:lang w:val="sq-AL"/>
        </w:rPr>
      </w:pPr>
    </w:p>
    <w:p w:rsidR="003307BE" w:rsidRDefault="003307BE">
      <w:pPr>
        <w:pStyle w:val="Standard"/>
        <w:rPr>
          <w:bCs/>
          <w:lang w:val="sq-AL"/>
        </w:rPr>
      </w:pPr>
    </w:p>
    <w:p w:rsidR="003307BE" w:rsidRDefault="00000000">
      <w:pPr>
        <w:pStyle w:val="Standard"/>
        <w:ind w:left="720"/>
        <w:rPr>
          <w:b/>
          <w:bCs/>
          <w:lang w:val="sq-AL"/>
        </w:rPr>
      </w:pPr>
      <w:r>
        <w:rPr>
          <w:b/>
          <w:bCs/>
          <w:lang w:val="sq-AL"/>
        </w:rPr>
        <w:t>7. PARTNERITETET DHE BASHKËPUNIMI</w:t>
      </w:r>
    </w:p>
    <w:p w:rsidR="003307BE" w:rsidRDefault="003307BE">
      <w:pPr>
        <w:pStyle w:val="Standard"/>
        <w:rPr>
          <w:b/>
          <w:bCs/>
          <w:color w:val="000000"/>
          <w:u w:val="single"/>
          <w:lang w:val="sq-AL"/>
        </w:rPr>
      </w:pPr>
    </w:p>
    <w:p w:rsidR="003307BE" w:rsidRDefault="00000000">
      <w:pPr>
        <w:pStyle w:val="Standard"/>
        <w:jc w:val="both"/>
        <w:rPr>
          <w:color w:val="000000"/>
          <w:lang w:val="sq-AL"/>
        </w:rPr>
      </w:pPr>
      <w:r>
        <w:rPr>
          <w:color w:val="000000"/>
          <w:lang w:val="sq-AL"/>
        </w:rPr>
        <w:t>OSHC-të e interesuara mund të aplikojnë në mënyrë individuale ose në partneritet me organizata dhe/ose institucione të tjera.</w:t>
      </w:r>
    </w:p>
    <w:p w:rsidR="003307BE" w:rsidRDefault="003307BE">
      <w:pPr>
        <w:pStyle w:val="Standard"/>
        <w:jc w:val="both"/>
        <w:rPr>
          <w:color w:val="000000"/>
          <w:lang w:val="sq-AL"/>
        </w:rPr>
      </w:pPr>
    </w:p>
    <w:p w:rsidR="003307BE" w:rsidRDefault="00000000">
      <w:pPr>
        <w:pStyle w:val="Standard"/>
        <w:rPr>
          <w:bCs/>
          <w:i/>
          <w:lang w:val="sq-AL"/>
        </w:rPr>
      </w:pPr>
      <w:r>
        <w:rPr>
          <w:bCs/>
          <w:i/>
          <w:lang w:val="sq-AL"/>
        </w:rPr>
        <w:t>Organizatat partnere</w:t>
      </w:r>
    </w:p>
    <w:p w:rsidR="003307BE" w:rsidRDefault="00000000">
      <w:pPr>
        <w:pStyle w:val="Standard"/>
        <w:jc w:val="both"/>
        <w:rPr>
          <w:sz w:val="20"/>
          <w:szCs w:val="20"/>
          <w:lang w:val="sq-AL"/>
        </w:rPr>
      </w:pPr>
      <w:r>
        <w:rPr>
          <w:bCs/>
          <w:lang w:val="sq-AL"/>
        </w:rPr>
        <w:t xml:space="preserve">Partnerë të projektit mund të jenë organizata të tjera të shoqërisë civile. Partnerët e OShC-së kandidate marrin pjesë në planifikimin dhe zbatimin e projektit, dhe shpenzimet u nënshtrohen rregullave të njëjta si ato të bëra nga vetë OShC-ja kandidate. Nëse aplikojnë në partneritet, organizata aplikuese do të jetë organizata udhëheqëse, dhe në rast të përzgjedhjes, kjo organizatë do të jetë pala kontraktuese (përfituese) dhe do t’i marrë të gjitha përgjegjësitë ligjore dhe financiare për zbatimin e projektit. </w:t>
      </w:r>
      <w:r>
        <w:rPr>
          <w:b/>
          <w:bCs/>
          <w:lang w:val="sq-AL"/>
        </w:rPr>
        <w:t xml:space="preserve">Deklarata e Partneritetit </w:t>
      </w:r>
      <w:r>
        <w:rPr>
          <w:bCs/>
          <w:lang w:val="sq-AL"/>
        </w:rPr>
        <w:t>(Shtojca A)</w:t>
      </w:r>
      <w:r>
        <w:rPr>
          <w:b/>
          <w:bCs/>
          <w:lang w:val="sq-AL"/>
        </w:rPr>
        <w:t xml:space="preserve"> </w:t>
      </w:r>
      <w:r>
        <w:rPr>
          <w:bCs/>
          <w:lang w:val="sq-AL"/>
        </w:rPr>
        <w:t>duhet të plotësohet në mënyrë korrekte dhe duhet të dorëzohet së bashku me dokumentet e tjera të aplikimit.</w:t>
      </w:r>
    </w:p>
    <w:p w:rsidR="003307BE" w:rsidRDefault="003307BE">
      <w:pPr>
        <w:pStyle w:val="Standard"/>
        <w:jc w:val="both"/>
        <w:rPr>
          <w:b/>
          <w:bCs/>
          <w:i/>
          <w:lang w:val="sq-AL"/>
        </w:rPr>
      </w:pPr>
    </w:p>
    <w:p w:rsidR="003307BE" w:rsidRDefault="00000000">
      <w:pPr>
        <w:pStyle w:val="Standard"/>
        <w:jc w:val="both"/>
        <w:rPr>
          <w:bCs/>
          <w:i/>
          <w:lang w:val="sq-AL"/>
        </w:rPr>
      </w:pPr>
      <w:r>
        <w:rPr>
          <w:bCs/>
          <w:i/>
          <w:lang w:val="sq-AL"/>
        </w:rPr>
        <w:t>Bashkëpunëtorët: organizata dhe institucione te tjera</w:t>
      </w:r>
    </w:p>
    <w:p w:rsidR="003307BE" w:rsidRDefault="00000000">
      <w:pPr>
        <w:pStyle w:val="Standard"/>
        <w:spacing w:after="240"/>
        <w:jc w:val="both"/>
        <w:rPr>
          <w:bCs/>
          <w:lang w:val="sq-AL"/>
        </w:rPr>
      </w:pPr>
      <w:r>
        <w:rPr>
          <w:bCs/>
          <w:lang w:val="sq-AL"/>
        </w:rPr>
        <w:t>Organizatat dhe/apo institucionet tjera (p.sh. shkollat, kopshtet e fëmijëve, muzetë, etj) mund të përfshihen në projekt. Organizatat e tilla – bashkëpunëtorët kanë rol të rëndësishëm në zbatimin e aktiviteteve, por nuk mund të marrin grante.</w:t>
      </w:r>
    </w:p>
    <w:p w:rsidR="003307BE" w:rsidRDefault="003307BE">
      <w:pPr>
        <w:pStyle w:val="Standard"/>
        <w:ind w:left="540"/>
        <w:rPr>
          <w:b/>
          <w:bCs/>
          <w:u w:val="single"/>
          <w:lang w:val="sq-AL"/>
        </w:rPr>
      </w:pPr>
    </w:p>
    <w:p w:rsidR="003307BE" w:rsidRDefault="00000000">
      <w:pPr>
        <w:pStyle w:val="Standard"/>
        <w:ind w:left="720"/>
        <w:rPr>
          <w:b/>
          <w:bCs/>
          <w:lang w:val="sq-AL"/>
        </w:rPr>
      </w:pPr>
      <w:r>
        <w:rPr>
          <w:b/>
          <w:bCs/>
          <w:lang w:val="sq-AL"/>
        </w:rPr>
        <w:t>8. DOKUMENTACIONI I NEVOJSHËM PËR TË APLIKUAR</w:t>
      </w:r>
    </w:p>
    <w:p w:rsidR="003307BE" w:rsidRDefault="00000000" w:rsidP="00050E29">
      <w:pPr>
        <w:pStyle w:val="Textbody"/>
        <w:numPr>
          <w:ilvl w:val="0"/>
          <w:numId w:val="32"/>
        </w:numPr>
        <w:rPr>
          <w:rFonts w:ascii="Times New Roman" w:hAnsi="Times New Roman" w:cs="Times New Roman"/>
          <w:bCs/>
          <w:i/>
          <w:sz w:val="24"/>
          <w:szCs w:val="24"/>
          <w:lang w:val="sq-AL"/>
        </w:rPr>
      </w:pPr>
      <w:r>
        <w:rPr>
          <w:rFonts w:ascii="Times New Roman" w:hAnsi="Times New Roman" w:cs="Times New Roman"/>
          <w:bCs/>
          <w:i/>
          <w:sz w:val="24"/>
          <w:szCs w:val="24"/>
          <w:lang w:val="sq-AL"/>
        </w:rPr>
        <w:t>Dokumentet kryesore:</w:t>
      </w:r>
    </w:p>
    <w:p w:rsidR="003307BE" w:rsidRDefault="00000000" w:rsidP="00050E29">
      <w:pPr>
        <w:pStyle w:val="Textbody"/>
        <w:numPr>
          <w:ilvl w:val="0"/>
          <w:numId w:val="7"/>
        </w:numPr>
        <w:tabs>
          <w:tab w:val="clear" w:pos="426"/>
          <w:tab w:val="left" w:pos="284"/>
        </w:tabs>
        <w:jc w:val="both"/>
        <w:rPr>
          <w:rFonts w:ascii="Times New Roman" w:hAnsi="Times New Roman" w:cs="Times New Roman"/>
          <w:bCs/>
          <w:sz w:val="24"/>
          <w:szCs w:val="24"/>
          <w:lang w:val="sq-AL"/>
        </w:rPr>
      </w:pPr>
      <w:r>
        <w:rPr>
          <w:rFonts w:ascii="Times New Roman" w:hAnsi="Times New Roman" w:cs="Times New Roman"/>
          <w:bCs/>
          <w:sz w:val="24"/>
          <w:szCs w:val="24"/>
          <w:lang w:val="sq-AL"/>
        </w:rPr>
        <w:t>Projekt propozimi (në formatin Word - Shtojca 7)</w:t>
      </w:r>
    </w:p>
    <w:p w:rsidR="003307BE" w:rsidRDefault="00000000" w:rsidP="00050E29">
      <w:pPr>
        <w:pStyle w:val="Textbody"/>
        <w:numPr>
          <w:ilvl w:val="0"/>
          <w:numId w:val="33"/>
        </w:numPr>
        <w:tabs>
          <w:tab w:val="clear" w:pos="426"/>
          <w:tab w:val="left" w:pos="284"/>
        </w:tabs>
        <w:jc w:val="both"/>
        <w:rPr>
          <w:rFonts w:ascii="Times New Roman" w:hAnsi="Times New Roman" w:cs="Times New Roman"/>
          <w:bCs/>
          <w:sz w:val="24"/>
          <w:szCs w:val="24"/>
          <w:lang w:val="sq-AL"/>
        </w:rPr>
      </w:pPr>
      <w:r>
        <w:rPr>
          <w:rFonts w:ascii="Times New Roman" w:hAnsi="Times New Roman" w:cs="Times New Roman"/>
          <w:bCs/>
          <w:sz w:val="24"/>
          <w:szCs w:val="24"/>
          <w:lang w:val="sq-AL"/>
        </w:rPr>
        <w:t>Buxheti  (formati Excel - Shtojca 8)</w:t>
      </w:r>
    </w:p>
    <w:p w:rsidR="003307BE" w:rsidRDefault="00000000" w:rsidP="00050E29">
      <w:pPr>
        <w:pStyle w:val="Textbody"/>
        <w:numPr>
          <w:ilvl w:val="0"/>
          <w:numId w:val="34"/>
        </w:numPr>
        <w:tabs>
          <w:tab w:val="clear" w:pos="426"/>
          <w:tab w:val="left" w:pos="284"/>
        </w:tabs>
        <w:jc w:val="both"/>
        <w:rPr>
          <w:rFonts w:ascii="Times New Roman" w:hAnsi="Times New Roman" w:cs="Times New Roman"/>
          <w:bCs/>
          <w:sz w:val="24"/>
          <w:szCs w:val="24"/>
          <w:lang w:val="sq-AL"/>
        </w:rPr>
      </w:pPr>
      <w:r>
        <w:rPr>
          <w:rFonts w:ascii="Times New Roman" w:hAnsi="Times New Roman" w:cs="Times New Roman"/>
          <w:bCs/>
          <w:sz w:val="24"/>
          <w:szCs w:val="24"/>
          <w:lang w:val="sq-AL"/>
        </w:rPr>
        <w:t>Matrica e kornizës logjike (formati Word – Shtojca 9)</w:t>
      </w:r>
    </w:p>
    <w:p w:rsidR="003307BE" w:rsidRDefault="00000000" w:rsidP="00050E29">
      <w:pPr>
        <w:pStyle w:val="Textbody"/>
        <w:numPr>
          <w:ilvl w:val="0"/>
          <w:numId w:val="35"/>
        </w:numPr>
        <w:tabs>
          <w:tab w:val="clear" w:pos="426"/>
          <w:tab w:val="left" w:pos="284"/>
        </w:tabs>
        <w:jc w:val="both"/>
        <w:rPr>
          <w:rFonts w:ascii="Times New Roman" w:hAnsi="Times New Roman" w:cs="Times New Roman"/>
          <w:bCs/>
          <w:sz w:val="24"/>
          <w:szCs w:val="24"/>
          <w:lang w:val="sq-AL"/>
        </w:rPr>
      </w:pPr>
      <w:r>
        <w:rPr>
          <w:rFonts w:ascii="Times New Roman" w:hAnsi="Times New Roman" w:cs="Times New Roman"/>
          <w:bCs/>
          <w:sz w:val="24"/>
          <w:szCs w:val="24"/>
          <w:lang w:val="sq-AL"/>
        </w:rPr>
        <w:t>Plani i aktiviteteve dhe dukshmërisë (formati Excel – Shtojca 10)</w:t>
      </w:r>
    </w:p>
    <w:p w:rsidR="003307BE" w:rsidRDefault="00000000" w:rsidP="00050E29">
      <w:pPr>
        <w:pStyle w:val="Textbody"/>
        <w:numPr>
          <w:ilvl w:val="0"/>
          <w:numId w:val="36"/>
        </w:numPr>
        <w:tabs>
          <w:tab w:val="clear" w:pos="426"/>
          <w:tab w:val="left" w:pos="284"/>
        </w:tabs>
        <w:jc w:val="both"/>
        <w:rPr>
          <w:rFonts w:ascii="Times New Roman" w:hAnsi="Times New Roman" w:cs="Times New Roman"/>
          <w:bCs/>
          <w:i/>
          <w:sz w:val="24"/>
          <w:szCs w:val="24"/>
          <w:lang w:val="sq-AL"/>
        </w:rPr>
      </w:pPr>
      <w:r>
        <w:rPr>
          <w:rFonts w:ascii="Times New Roman" w:hAnsi="Times New Roman" w:cs="Times New Roman"/>
          <w:bCs/>
          <w:i/>
          <w:sz w:val="24"/>
          <w:szCs w:val="24"/>
          <w:lang w:val="sq-AL"/>
        </w:rPr>
        <w:t>Dokumente shtesë  (për organizatën aplikuese dhe partnerët, nëse ka)</w:t>
      </w:r>
    </w:p>
    <w:p w:rsidR="003307BE" w:rsidRDefault="00000000" w:rsidP="00050E29">
      <w:pPr>
        <w:pStyle w:val="Textbody"/>
        <w:numPr>
          <w:ilvl w:val="0"/>
          <w:numId w:val="37"/>
        </w:numPr>
        <w:tabs>
          <w:tab w:val="clear" w:pos="426"/>
          <w:tab w:val="left" w:pos="284"/>
        </w:tabs>
        <w:jc w:val="both"/>
        <w:rPr>
          <w:rFonts w:ascii="Times New Roman" w:hAnsi="Times New Roman" w:cs="Times New Roman"/>
          <w:bCs/>
          <w:sz w:val="24"/>
          <w:szCs w:val="24"/>
          <w:lang w:val="sq-AL"/>
        </w:rPr>
      </w:pPr>
      <w:r>
        <w:rPr>
          <w:rFonts w:ascii="Times New Roman" w:hAnsi="Times New Roman" w:cs="Times New Roman"/>
          <w:bCs/>
          <w:sz w:val="24"/>
          <w:szCs w:val="24"/>
          <w:lang w:val="sq-AL"/>
        </w:rPr>
        <w:t>Vendimi i regjistrimit të organizatës në Gjykatë dhe ndryshime të tij nëse ka patur.</w:t>
      </w:r>
    </w:p>
    <w:p w:rsidR="003307BE" w:rsidRDefault="00000000" w:rsidP="00050E29">
      <w:pPr>
        <w:pStyle w:val="Textbody"/>
        <w:numPr>
          <w:ilvl w:val="0"/>
          <w:numId w:val="38"/>
        </w:numPr>
        <w:tabs>
          <w:tab w:val="clear" w:pos="426"/>
          <w:tab w:val="left" w:pos="284"/>
        </w:tabs>
        <w:jc w:val="both"/>
        <w:rPr>
          <w:rFonts w:ascii="Times New Roman" w:hAnsi="Times New Roman" w:cs="Times New Roman"/>
          <w:bCs/>
          <w:sz w:val="24"/>
          <w:szCs w:val="24"/>
          <w:lang w:val="sq-AL"/>
        </w:rPr>
      </w:pPr>
      <w:r>
        <w:rPr>
          <w:rFonts w:ascii="Times New Roman" w:hAnsi="Times New Roman" w:cs="Times New Roman"/>
          <w:bCs/>
          <w:sz w:val="24"/>
          <w:szCs w:val="24"/>
          <w:lang w:val="sq-AL"/>
        </w:rPr>
        <w:t>Kopja e statutit të organizatës (për organizatën aplikuese dhe partnerët, nëse ka),</w:t>
      </w:r>
    </w:p>
    <w:p w:rsidR="003307BE" w:rsidRDefault="00000000" w:rsidP="00050E29">
      <w:pPr>
        <w:pStyle w:val="Textbody"/>
        <w:numPr>
          <w:ilvl w:val="0"/>
          <w:numId w:val="39"/>
        </w:numPr>
        <w:tabs>
          <w:tab w:val="clear" w:pos="426"/>
          <w:tab w:val="left" w:pos="284"/>
        </w:tabs>
        <w:jc w:val="both"/>
        <w:rPr>
          <w:rFonts w:ascii="Times New Roman" w:hAnsi="Times New Roman" w:cs="Times New Roman"/>
          <w:bCs/>
          <w:sz w:val="24"/>
          <w:szCs w:val="24"/>
          <w:lang w:val="sq-AL"/>
        </w:rPr>
      </w:pPr>
      <w:r>
        <w:rPr>
          <w:rFonts w:ascii="Times New Roman" w:hAnsi="Times New Roman" w:cs="Times New Roman"/>
          <w:bCs/>
          <w:sz w:val="24"/>
          <w:szCs w:val="24"/>
          <w:lang w:val="sq-AL"/>
        </w:rPr>
        <w:t>Formulari i kompletuar identifikues administrativ dhe financiar (formati Word– Shtojca 11),</w:t>
      </w:r>
    </w:p>
    <w:p w:rsidR="003307BE" w:rsidRDefault="00000000" w:rsidP="00050E29">
      <w:pPr>
        <w:pStyle w:val="Textbody"/>
        <w:numPr>
          <w:ilvl w:val="0"/>
          <w:numId w:val="40"/>
        </w:numPr>
        <w:tabs>
          <w:tab w:val="clear" w:pos="426"/>
          <w:tab w:val="left" w:pos="284"/>
        </w:tabs>
        <w:jc w:val="both"/>
        <w:rPr>
          <w:rFonts w:ascii="Times New Roman" w:hAnsi="Times New Roman" w:cs="Times New Roman"/>
          <w:bCs/>
          <w:sz w:val="24"/>
          <w:szCs w:val="24"/>
          <w:lang w:val="sq-AL"/>
        </w:rPr>
      </w:pPr>
      <w:r>
        <w:rPr>
          <w:rFonts w:ascii="Times New Roman" w:hAnsi="Times New Roman" w:cs="Times New Roman"/>
          <w:bCs/>
          <w:sz w:val="24"/>
          <w:szCs w:val="24"/>
          <w:lang w:val="sq-AL"/>
        </w:rPr>
        <w:t>Deklarata për plotësimin e kritereve (Shtojca 12)</w:t>
      </w:r>
    </w:p>
    <w:p w:rsidR="003307BE" w:rsidRDefault="00000000" w:rsidP="00050E29">
      <w:pPr>
        <w:pStyle w:val="Textbody"/>
        <w:numPr>
          <w:ilvl w:val="0"/>
          <w:numId w:val="41"/>
        </w:numPr>
        <w:tabs>
          <w:tab w:val="clear" w:pos="426"/>
          <w:tab w:val="left" w:pos="284"/>
        </w:tabs>
        <w:jc w:val="both"/>
        <w:rPr>
          <w:rFonts w:ascii="Times New Roman" w:hAnsi="Times New Roman" w:cs="Times New Roman"/>
          <w:bCs/>
          <w:sz w:val="24"/>
          <w:szCs w:val="24"/>
          <w:lang w:val="sq-AL"/>
        </w:rPr>
      </w:pPr>
      <w:r>
        <w:rPr>
          <w:rFonts w:ascii="Times New Roman" w:hAnsi="Times New Roman" w:cs="Times New Roman"/>
          <w:bCs/>
          <w:sz w:val="24"/>
          <w:szCs w:val="24"/>
          <w:lang w:val="sq-AL"/>
        </w:rPr>
        <w:t>Kopje e Pasqyrave financiare të OSHC-së (a. bilanci; b. PASH; c. cash flow; ç. shënimet shpjeguese) për vitin 2023 të firmosur nga një kontabilist i miratuar ose financieri zyrtar i OSHC-së sipas kritereve ligjore në fuqi. Në rastin që organizata është themeluar gjatë këtij viti nuk është e nevojshme të dorëzohen pasqyrat.</w:t>
      </w:r>
    </w:p>
    <w:p w:rsidR="003307BE" w:rsidRDefault="00000000" w:rsidP="00050E29">
      <w:pPr>
        <w:pStyle w:val="Textbody"/>
        <w:numPr>
          <w:ilvl w:val="0"/>
          <w:numId w:val="42"/>
        </w:numPr>
        <w:tabs>
          <w:tab w:val="clear" w:pos="426"/>
          <w:tab w:val="left" w:pos="284"/>
        </w:tabs>
        <w:jc w:val="both"/>
        <w:rPr>
          <w:rFonts w:ascii="Times New Roman" w:hAnsi="Times New Roman" w:cs="Times New Roman"/>
          <w:bCs/>
          <w:sz w:val="24"/>
          <w:szCs w:val="24"/>
          <w:lang w:val="sq-AL"/>
        </w:rPr>
      </w:pPr>
      <w:r>
        <w:rPr>
          <w:rFonts w:ascii="Times New Roman" w:hAnsi="Times New Roman" w:cs="Times New Roman"/>
          <w:bCs/>
          <w:sz w:val="24"/>
          <w:szCs w:val="24"/>
          <w:lang w:val="sq-AL"/>
        </w:rPr>
        <w:t>Një raport përshkrues i projekteve dhe aktiviteteve të OSHC për vitin paraardhës, përveç rasteve nëse organizata është themeluar gjatë këtij  viti.</w:t>
      </w:r>
    </w:p>
    <w:p w:rsidR="003307BE" w:rsidRDefault="00000000" w:rsidP="00050E29">
      <w:pPr>
        <w:pStyle w:val="Textbody"/>
        <w:numPr>
          <w:ilvl w:val="0"/>
          <w:numId w:val="43"/>
        </w:numPr>
        <w:tabs>
          <w:tab w:val="clear" w:pos="426"/>
          <w:tab w:val="left" w:pos="284"/>
        </w:tabs>
        <w:jc w:val="both"/>
        <w:rPr>
          <w:rFonts w:ascii="Times New Roman" w:hAnsi="Times New Roman"/>
        </w:rPr>
      </w:pPr>
      <w:r>
        <w:rPr>
          <w:rFonts w:ascii="Times New Roman" w:hAnsi="Times New Roman" w:cs="Times New Roman"/>
          <w:bCs/>
          <w:sz w:val="24"/>
          <w:szCs w:val="24"/>
          <w:lang w:val="sq-AL"/>
        </w:rPr>
        <w:t>Deklarata e partneritetit në rast se OSHC aplikuese ka partnerë (Shtojca 13).</w:t>
      </w:r>
    </w:p>
    <w:p w:rsidR="003307BE" w:rsidRDefault="00000000" w:rsidP="00050E29">
      <w:pPr>
        <w:pStyle w:val="Textbody"/>
        <w:numPr>
          <w:ilvl w:val="0"/>
          <w:numId w:val="44"/>
        </w:numPr>
        <w:tabs>
          <w:tab w:val="clear" w:pos="426"/>
          <w:tab w:val="left" w:pos="284"/>
        </w:tabs>
        <w:jc w:val="both"/>
        <w:rPr>
          <w:rFonts w:ascii="Times New Roman" w:hAnsi="Times New Roman"/>
        </w:rPr>
      </w:pPr>
      <w:r>
        <w:rPr>
          <w:rFonts w:ascii="Times New Roman" w:hAnsi="Times New Roman" w:cs="Times New Roman"/>
          <w:bCs/>
          <w:sz w:val="24"/>
          <w:szCs w:val="24"/>
          <w:lang w:val="sq-AL"/>
        </w:rPr>
        <w:t>Deklarata e shmangies së konfliktit të interesit (Shtojca 14).</w:t>
      </w:r>
    </w:p>
    <w:p w:rsidR="003307BE" w:rsidRDefault="003307BE">
      <w:pPr>
        <w:pStyle w:val="Textbody"/>
        <w:tabs>
          <w:tab w:val="clear" w:pos="426"/>
          <w:tab w:val="left" w:pos="284"/>
        </w:tabs>
        <w:jc w:val="both"/>
        <w:rPr>
          <w:rFonts w:ascii="Times New Roman" w:hAnsi="Times New Roman" w:cs="Times New Roman"/>
          <w:b/>
          <w:bCs/>
          <w:i/>
          <w:sz w:val="24"/>
          <w:szCs w:val="24"/>
          <w:lang w:val="sq-AL"/>
        </w:rPr>
      </w:pPr>
    </w:p>
    <w:p w:rsidR="003307BE" w:rsidRDefault="00000000">
      <w:pPr>
        <w:pStyle w:val="Textbody"/>
        <w:tabs>
          <w:tab w:val="clear" w:pos="426"/>
          <w:tab w:val="left" w:pos="284"/>
        </w:tabs>
        <w:jc w:val="both"/>
        <w:rPr>
          <w:rFonts w:ascii="Times New Roman" w:hAnsi="Times New Roman"/>
        </w:rPr>
      </w:pPr>
      <w:r>
        <w:rPr>
          <w:rFonts w:ascii="Times New Roman" w:hAnsi="Times New Roman" w:cs="Times New Roman"/>
          <w:b/>
          <w:i/>
          <w:sz w:val="24"/>
          <w:szCs w:val="24"/>
          <w:lang w:val="sq-AL"/>
        </w:rPr>
        <w:t>Sh</w:t>
      </w:r>
      <w:r>
        <w:rPr>
          <w:rFonts w:ascii="Times New Roman" w:hAnsi="Times New Roman" w:cs="Times New Roman"/>
          <w:b/>
          <w:bCs/>
          <w:i/>
          <w:sz w:val="24"/>
          <w:szCs w:val="24"/>
          <w:lang w:val="sq-AL"/>
        </w:rPr>
        <w:t>ënim: Me qëllim vlerësimin e projekt – propozimit, dokumentacioni kryesor dhe ai shtesë janë njësoj të vlefshme dhe dorëzimi i të gjitha dokumenteve të sipër përmendura në 3 kopje është i detyrueshëm.</w:t>
      </w:r>
    </w:p>
    <w:p w:rsidR="003307BE" w:rsidRDefault="003307BE">
      <w:pPr>
        <w:pStyle w:val="Standard"/>
        <w:ind w:left="540"/>
        <w:rPr>
          <w:b/>
          <w:bCs/>
          <w:i/>
          <w:color w:val="000000"/>
          <w:u w:val="single"/>
          <w:lang w:val="sq-AL"/>
        </w:rPr>
      </w:pPr>
    </w:p>
    <w:p w:rsidR="003307BE" w:rsidRDefault="00000000">
      <w:pPr>
        <w:pStyle w:val="Standard"/>
        <w:rPr>
          <w:b/>
          <w:bCs/>
          <w:lang w:val="sq-AL"/>
        </w:rPr>
      </w:pPr>
      <w:r>
        <w:rPr>
          <w:b/>
          <w:bCs/>
          <w:lang w:val="sq-AL"/>
        </w:rPr>
        <w:t>9. KUR DHE KU TË MERRET DHE TË DORËZOHET DOKUMENTAT E APLIKIMIT</w:t>
      </w:r>
    </w:p>
    <w:p w:rsidR="003307BE" w:rsidRDefault="003307BE">
      <w:pPr>
        <w:pStyle w:val="Standard"/>
        <w:tabs>
          <w:tab w:val="left" w:pos="270"/>
          <w:tab w:val="center" w:pos="8640"/>
        </w:tabs>
        <w:ind w:right="-180"/>
        <w:jc w:val="both"/>
        <w:rPr>
          <w:b/>
          <w:bCs/>
          <w:lang w:val="sq-AL"/>
        </w:rPr>
      </w:pPr>
    </w:p>
    <w:p w:rsidR="003307BE" w:rsidRDefault="00000000">
      <w:pPr>
        <w:pStyle w:val="Standard"/>
        <w:tabs>
          <w:tab w:val="left" w:pos="270"/>
          <w:tab w:val="center" w:pos="8640"/>
        </w:tabs>
        <w:ind w:right="-180"/>
        <w:jc w:val="both"/>
        <w:rPr>
          <w:sz w:val="20"/>
          <w:szCs w:val="20"/>
          <w:lang w:val="sq-AL"/>
        </w:rPr>
      </w:pPr>
      <w:bookmarkStart w:id="1" w:name="_Hlk536200519"/>
      <w:r>
        <w:rPr>
          <w:lang w:val="sq-AL"/>
        </w:rPr>
        <w:t xml:space="preserve">Dokumentacioni për thirrjen publike për Bashkinë Tiranë mund të tërhiqet nga data </w:t>
      </w:r>
      <w:r>
        <w:rPr>
          <w:b/>
          <w:bCs/>
          <w:lang w:val="sq-AL"/>
        </w:rPr>
        <w:t>21.02.2024</w:t>
      </w:r>
      <w:r>
        <w:rPr>
          <w:b/>
          <w:bCs/>
          <w:color w:val="000000"/>
          <w:lang w:val="sq-AL"/>
        </w:rPr>
        <w:t xml:space="preserve"> </w:t>
      </w:r>
      <w:r>
        <w:rPr>
          <w:b/>
          <w:color w:val="000000"/>
          <w:lang w:val="sq-AL"/>
        </w:rPr>
        <w:t xml:space="preserve">(data e hapjes së thirrjes publike) </w:t>
      </w:r>
      <w:r>
        <w:rPr>
          <w:color w:val="000000"/>
          <w:lang w:val="sq-AL"/>
        </w:rPr>
        <w:t>deri më</w:t>
      </w:r>
      <w:r>
        <w:rPr>
          <w:b/>
          <w:bCs/>
          <w:color w:val="000000"/>
          <w:lang w:val="sq-AL"/>
        </w:rPr>
        <w:t xml:space="preserve"> 21.03.2024</w:t>
      </w:r>
      <w:r>
        <w:rPr>
          <w:b/>
          <w:color w:val="000000"/>
          <w:lang w:val="sq-AL"/>
        </w:rPr>
        <w:t xml:space="preserve"> (data e mbylljes së thirrjes publike)</w:t>
      </w:r>
      <w:r>
        <w:rPr>
          <w:color w:val="000000"/>
          <w:lang w:val="sq-AL"/>
        </w:rPr>
        <w:t xml:space="preserve"> </w:t>
      </w:r>
      <w:r>
        <w:rPr>
          <w:lang w:val="sq-AL"/>
        </w:rPr>
        <w:t xml:space="preserve">duke e dërguar një kërkesë me emrin e organizatës së interesuar në adresën e-mail: </w:t>
      </w:r>
      <w:hyperlink r:id="rId8">
        <w:r>
          <w:rPr>
            <w:rStyle w:val="Hyperlink1"/>
            <w:lang w:val="sq-AL"/>
          </w:rPr>
          <w:t>anxhela.doku@tirana.al</w:t>
        </w:r>
      </w:hyperlink>
      <w:r>
        <w:rPr>
          <w:lang w:val="sq-AL"/>
        </w:rPr>
        <w:t xml:space="preserve"> apo personalisht</w:t>
      </w:r>
      <w:bookmarkEnd w:id="1"/>
      <w:r>
        <w:rPr>
          <w:lang w:val="sq-AL"/>
        </w:rPr>
        <w:t xml:space="preserve"> pranës Zyrës së Informimit dhe Shërbimeve për Qytetarët, Bashkia Tiranë.</w:t>
      </w:r>
    </w:p>
    <w:p w:rsidR="003307BE" w:rsidRDefault="003307BE">
      <w:pPr>
        <w:pStyle w:val="Standard"/>
        <w:tabs>
          <w:tab w:val="left" w:pos="270"/>
          <w:tab w:val="center" w:pos="8640"/>
        </w:tabs>
        <w:ind w:right="-180"/>
        <w:jc w:val="center"/>
        <w:rPr>
          <w:bCs/>
          <w:lang w:val="sq-AL"/>
        </w:rPr>
      </w:pPr>
    </w:p>
    <w:p w:rsidR="003307BE" w:rsidRDefault="00000000">
      <w:pPr>
        <w:pStyle w:val="Standard"/>
        <w:jc w:val="both"/>
        <w:rPr>
          <w:sz w:val="20"/>
          <w:szCs w:val="20"/>
          <w:lang w:val="sq-AL"/>
        </w:rPr>
      </w:pPr>
      <w:r>
        <w:rPr>
          <w:color w:val="000000"/>
          <w:lang w:val="sq-AL"/>
        </w:rPr>
        <w:t>Informacioni përkatës si dhe një version elektronik i të gjithë paketës së aplikimit mund të merret edhe në faqen web të Bashkisë Tiranë (</w:t>
      </w:r>
      <w:hyperlink r:id="rId9">
        <w:r>
          <w:rPr>
            <w:rStyle w:val="Hyperlink1"/>
            <w:lang w:val="sq-AL"/>
          </w:rPr>
          <w:t>www.tirana.al</w:t>
        </w:r>
      </w:hyperlink>
      <w:r>
        <w:rPr>
          <w:rStyle w:val="Hyperlink1"/>
          <w:lang w:val="sq-AL"/>
        </w:rPr>
        <w:t>).</w:t>
      </w:r>
    </w:p>
    <w:p w:rsidR="003307BE" w:rsidRDefault="003307BE">
      <w:pPr>
        <w:pStyle w:val="Standard"/>
        <w:rPr>
          <w:b/>
          <w:bCs/>
          <w:u w:val="single"/>
          <w:lang w:val="sq-AL"/>
        </w:rPr>
      </w:pPr>
    </w:p>
    <w:p w:rsidR="003307BE" w:rsidRDefault="00000000">
      <w:pPr>
        <w:pStyle w:val="Header"/>
        <w:tabs>
          <w:tab w:val="left" w:pos="270"/>
          <w:tab w:val="center" w:pos="6480"/>
          <w:tab w:val="center" w:pos="8640"/>
        </w:tabs>
        <w:ind w:right="-180"/>
        <w:jc w:val="both"/>
        <w:rPr>
          <w:sz w:val="20"/>
          <w:szCs w:val="20"/>
          <w:lang w:val="sq-AL"/>
        </w:rPr>
      </w:pPr>
      <w:r>
        <w:rPr>
          <w:color w:val="000000"/>
          <w:lang w:val="sq-AL"/>
        </w:rPr>
        <w:t>Aplikimet e plotësuara me të gjithë dokumentacionin (dokumentet kryesore dhe shtesë)</w:t>
      </w:r>
      <w:r>
        <w:rPr>
          <w:bCs/>
          <w:lang w:val="sq-AL"/>
        </w:rPr>
        <w:t xml:space="preserve">, duhet të dorëzohen përmes postës  </w:t>
      </w:r>
      <w:r>
        <w:rPr>
          <w:b/>
          <w:bCs/>
          <w:lang w:val="sq-AL"/>
        </w:rPr>
        <w:t>në tre kopje të printuara dhe një kopje elektronike  (CD apo USB)</w:t>
      </w:r>
      <w:r>
        <w:rPr>
          <w:bCs/>
          <w:lang w:val="sq-AL"/>
        </w:rPr>
        <w:t>, t</w:t>
      </w:r>
      <w:r>
        <w:rPr>
          <w:lang w:val="sq-AL"/>
        </w:rPr>
        <w:t xml:space="preserve">ë vendosura në </w:t>
      </w:r>
      <w:r>
        <w:rPr>
          <w:bCs/>
          <w:lang w:val="sq-AL"/>
        </w:rPr>
        <w:t>një zarf të vulosur që i referohet thirrjes publike, përmes postës në adresën:</w:t>
      </w:r>
    </w:p>
    <w:p w:rsidR="003307BE" w:rsidRDefault="003307BE">
      <w:pPr>
        <w:pStyle w:val="Header"/>
        <w:tabs>
          <w:tab w:val="left" w:pos="270"/>
          <w:tab w:val="center" w:pos="6480"/>
          <w:tab w:val="center" w:pos="8640"/>
        </w:tabs>
        <w:ind w:right="-180"/>
        <w:jc w:val="both"/>
        <w:rPr>
          <w:bCs/>
          <w:lang w:val="sq-AL"/>
        </w:rPr>
      </w:pPr>
    </w:p>
    <w:p w:rsidR="003307BE" w:rsidRDefault="00000000">
      <w:pPr>
        <w:pStyle w:val="Standard"/>
        <w:tabs>
          <w:tab w:val="left" w:pos="270"/>
          <w:tab w:val="center" w:pos="8640"/>
        </w:tabs>
        <w:ind w:right="-180"/>
        <w:jc w:val="center"/>
        <w:rPr>
          <w:sz w:val="20"/>
          <w:szCs w:val="20"/>
          <w:lang w:val="sq-AL"/>
        </w:rPr>
      </w:pPr>
      <w:r>
        <w:rPr>
          <w:lang w:val="sq-AL"/>
        </w:rPr>
        <w:t xml:space="preserve">Bashkia Tiranë - </w:t>
      </w:r>
      <w:r>
        <w:rPr>
          <w:u w:val="single"/>
          <w:lang w:val="sq-AL"/>
        </w:rPr>
        <w:t>Zyra e Protokollit</w:t>
      </w:r>
      <w:r>
        <w:rPr>
          <w:lang w:val="sq-AL"/>
        </w:rPr>
        <w:t>,</w:t>
      </w:r>
    </w:p>
    <w:p w:rsidR="003307BE" w:rsidRDefault="00000000">
      <w:pPr>
        <w:pStyle w:val="Standard"/>
        <w:tabs>
          <w:tab w:val="left" w:pos="270"/>
          <w:tab w:val="center" w:pos="8640"/>
        </w:tabs>
        <w:ind w:right="-180"/>
        <w:jc w:val="center"/>
        <w:rPr>
          <w:lang w:val="sq-AL"/>
        </w:rPr>
      </w:pPr>
      <w:r>
        <w:rPr>
          <w:lang w:val="sq-AL"/>
        </w:rPr>
        <w:t>Sheshi Skënderbej, Nd. 2, Kodi postar 1001, Tiranë, Shqipëri</w:t>
      </w:r>
    </w:p>
    <w:p w:rsidR="003307BE" w:rsidRDefault="003307BE">
      <w:pPr>
        <w:pStyle w:val="Header"/>
        <w:tabs>
          <w:tab w:val="left" w:pos="270"/>
          <w:tab w:val="center" w:pos="6480"/>
          <w:tab w:val="center" w:pos="8640"/>
        </w:tabs>
        <w:ind w:right="-180"/>
        <w:jc w:val="both"/>
        <w:rPr>
          <w:bCs/>
          <w:lang w:val="sq-AL"/>
        </w:rPr>
      </w:pPr>
    </w:p>
    <w:p w:rsidR="003307BE" w:rsidRDefault="00000000">
      <w:pPr>
        <w:pStyle w:val="Header"/>
        <w:tabs>
          <w:tab w:val="left" w:pos="270"/>
          <w:tab w:val="center" w:pos="6480"/>
          <w:tab w:val="center" w:pos="8640"/>
        </w:tabs>
        <w:ind w:right="-180"/>
        <w:jc w:val="both"/>
        <w:rPr>
          <w:sz w:val="20"/>
          <w:szCs w:val="20"/>
          <w:lang w:val="sq-AL"/>
        </w:rPr>
      </w:pPr>
      <w:r>
        <w:rPr>
          <w:b/>
          <w:bCs/>
          <w:lang w:val="sq-AL"/>
        </w:rPr>
        <w:t xml:space="preserve">Afati për dorëzimin e aplikimeve është data 21.03.2024 ora 15:00 </w:t>
      </w:r>
      <w:r>
        <w:rPr>
          <w:lang w:val="sq-AL"/>
        </w:rPr>
        <w:t>(4</w:t>
      </w:r>
      <w:r>
        <w:rPr>
          <w:bCs/>
          <w:lang w:val="sq-AL"/>
        </w:rPr>
        <w:t xml:space="preserve"> javë nga data e hapjes së thirrjes publike). </w:t>
      </w:r>
      <w:r>
        <w:rPr>
          <w:color w:val="000000"/>
          <w:lang w:val="sq-AL"/>
        </w:rPr>
        <w:t>Në pjesën e jashtme të zarfit duhet të vendosen titulli i thirrjes publike për projekt-propozime, emri i plotë dhe adresa e aplikantit, titulli i projektit dhe fjalët: “</w:t>
      </w:r>
      <w:r>
        <w:rPr>
          <w:b/>
          <w:bCs/>
          <w:color w:val="000000"/>
          <w:lang w:val="sq-AL"/>
        </w:rPr>
        <w:t>Të mos hapet përpara hapjes zyrtare”</w:t>
      </w:r>
      <w:r>
        <w:rPr>
          <w:color w:val="000000"/>
          <w:lang w:val="sq-AL"/>
        </w:rPr>
        <w:t xml:space="preserve">. </w:t>
      </w:r>
      <w:r>
        <w:rPr>
          <w:bCs/>
          <w:lang w:val="sq-AL"/>
        </w:rPr>
        <w:t>Aplikimet e dërguara në mënyra tjera (p.sh. E-mail, faks ose jo në zarf të mbyllur, etj) nuk do të merren parasysh.</w:t>
      </w:r>
    </w:p>
    <w:p w:rsidR="003307BE" w:rsidRDefault="003307BE">
      <w:pPr>
        <w:pStyle w:val="Standard"/>
        <w:jc w:val="both"/>
        <w:rPr>
          <w:bCs/>
          <w:lang w:val="sq-AL"/>
        </w:rPr>
      </w:pPr>
    </w:p>
    <w:p w:rsidR="003307BE" w:rsidRDefault="00000000">
      <w:pPr>
        <w:pStyle w:val="Standard"/>
        <w:jc w:val="both"/>
        <w:rPr>
          <w:sz w:val="20"/>
          <w:szCs w:val="20"/>
          <w:lang w:val="sq-AL"/>
        </w:rPr>
      </w:pPr>
      <w:r>
        <w:rPr>
          <w:color w:val="000000"/>
          <w:lang w:val="sq-AL"/>
        </w:rPr>
        <w:t xml:space="preserve">Bashkia do të regjistrojë çdo aplikim të marrë në dorëzim dhe do të lëshojë vërtetimin përkatës </w:t>
      </w:r>
      <w:r>
        <w:rPr>
          <w:bCs/>
          <w:lang w:val="sq-AL"/>
        </w:rPr>
        <w:t>(datën dhe orën e pranimit të projekt-propozimit).</w:t>
      </w:r>
    </w:p>
    <w:p w:rsidR="003307BE" w:rsidRDefault="003307BE">
      <w:pPr>
        <w:pStyle w:val="Standard"/>
        <w:jc w:val="both"/>
        <w:rPr>
          <w:bCs/>
          <w:lang w:val="sq-AL"/>
        </w:rPr>
      </w:pPr>
    </w:p>
    <w:p w:rsidR="003307BE" w:rsidRDefault="00000000">
      <w:pPr>
        <w:pStyle w:val="Standard"/>
        <w:jc w:val="both"/>
        <w:rPr>
          <w:sz w:val="20"/>
          <w:szCs w:val="20"/>
          <w:lang w:val="sq-AL"/>
        </w:rPr>
      </w:pPr>
      <w:r>
        <w:rPr>
          <w:bCs/>
          <w:lang w:val="sq-AL"/>
        </w:rPr>
        <w:t>OSHC-të duhet të ruajnë kuponin me kodin postar si evidencë që vërteton dorëzimin e aplikimit brenda afatit të caktuar.</w:t>
      </w:r>
    </w:p>
    <w:p w:rsidR="003307BE" w:rsidRDefault="003307BE">
      <w:pPr>
        <w:pStyle w:val="Standard"/>
        <w:jc w:val="both"/>
        <w:rPr>
          <w:b/>
          <w:bCs/>
          <w:color w:val="000000"/>
          <w:lang w:val="sq-AL"/>
        </w:rPr>
      </w:pPr>
    </w:p>
    <w:p w:rsidR="003307BE" w:rsidRDefault="003307BE">
      <w:pPr>
        <w:pStyle w:val="Standard"/>
        <w:ind w:left="540"/>
        <w:rPr>
          <w:b/>
          <w:bCs/>
          <w:color w:val="000000"/>
          <w:lang w:val="sq-AL"/>
        </w:rPr>
      </w:pPr>
    </w:p>
    <w:p w:rsidR="003307BE" w:rsidRDefault="00000000">
      <w:pPr>
        <w:pStyle w:val="Standard"/>
        <w:rPr>
          <w:b/>
          <w:bCs/>
          <w:lang w:val="sq-AL"/>
        </w:rPr>
      </w:pPr>
      <w:r>
        <w:rPr>
          <w:b/>
          <w:bCs/>
          <w:lang w:val="sq-AL"/>
        </w:rPr>
        <w:t>10. INFORMACIONE SHTESË</w:t>
      </w:r>
    </w:p>
    <w:p w:rsidR="003307BE" w:rsidRDefault="003307BE">
      <w:pPr>
        <w:pStyle w:val="Standard"/>
        <w:rPr>
          <w:b/>
          <w:bCs/>
          <w:u w:val="single"/>
          <w:lang w:val="sq-AL"/>
        </w:rPr>
      </w:pPr>
    </w:p>
    <w:p w:rsidR="003307BE" w:rsidRDefault="00000000">
      <w:pPr>
        <w:pStyle w:val="Standard"/>
        <w:jc w:val="both"/>
        <w:rPr>
          <w:bCs/>
          <w:lang w:val="sq-AL"/>
        </w:rPr>
      </w:pPr>
      <w:r>
        <w:rPr>
          <w:bCs/>
          <w:lang w:val="sq-AL"/>
        </w:rPr>
        <w:t>Me qëllim mbështetjen e OSHC-ve për të paraqitur aplikime në përputhje me kriteret e Udhëzuesit, bashkia do të organizojë një takim informues/ditë të hapur, ku ftohen të marrin pjesë të gjitha organizatat e interesuara për të aplikuar në këtë thirrje. Ky takimi ka si qëllim informimin e OSHC-ve mbi elementët kryesorë të thirrjes, me qëllim paraqitjen e aplikimeve sa më të suksesshme.</w:t>
      </w:r>
    </w:p>
    <w:p w:rsidR="003307BE" w:rsidRDefault="003307BE">
      <w:pPr>
        <w:pStyle w:val="Standard"/>
        <w:jc w:val="both"/>
        <w:rPr>
          <w:bCs/>
          <w:lang w:val="sq-AL"/>
        </w:rPr>
      </w:pPr>
    </w:p>
    <w:p w:rsidR="003307BE" w:rsidRDefault="00000000">
      <w:pPr>
        <w:pStyle w:val="Standard"/>
        <w:ind w:left="90" w:right="-180"/>
        <w:jc w:val="both"/>
        <w:rPr>
          <w:sz w:val="20"/>
          <w:szCs w:val="20"/>
          <w:lang w:val="sq-AL"/>
        </w:rPr>
      </w:pPr>
      <w:r>
        <w:rPr>
          <w:lang w:val="sq-AL"/>
        </w:rPr>
        <w:t xml:space="preserve">Pyetjet rreth thirrjes mund të behën përmes adresës e-mail </w:t>
      </w:r>
      <w:r>
        <w:rPr>
          <w:rStyle w:val="Hyperlink1"/>
          <w:lang w:val="sq-AL"/>
        </w:rPr>
        <w:t>anxhela.doku@tirana.al</w:t>
      </w:r>
      <w:r>
        <w:rPr>
          <w:lang w:val="sq-AL"/>
        </w:rPr>
        <w:t xml:space="preserve">, duke iu referuar thirrjes publike. Pyetjet mund të dërgohen deri më </w:t>
      </w:r>
      <w:r>
        <w:rPr>
          <w:b/>
          <w:bCs/>
          <w:lang w:val="sq-AL"/>
        </w:rPr>
        <w:t>18.03.2024</w:t>
      </w:r>
      <w:r>
        <w:rPr>
          <w:lang w:val="sq-AL"/>
        </w:rPr>
        <w:t>, ndërsa përgjigjet do të jepen brenda 3 ditësh pune nga data e marrjes së pyetjeve përkatëse. Për qëllime transparence, përgjigjet mund t’u ndahen me të gjithë organizatat të cilat kanë dërguar pyetje.</w:t>
      </w:r>
    </w:p>
    <w:p w:rsidR="003307BE" w:rsidRDefault="003307BE">
      <w:pPr>
        <w:pStyle w:val="Standard"/>
        <w:jc w:val="both"/>
        <w:rPr>
          <w:bCs/>
          <w:lang w:val="sq-AL"/>
        </w:rPr>
      </w:pPr>
    </w:p>
    <w:p w:rsidR="003307BE" w:rsidRDefault="003307BE">
      <w:pPr>
        <w:pStyle w:val="Standard"/>
        <w:jc w:val="both"/>
        <w:rPr>
          <w:bCs/>
          <w:lang w:val="sq-AL"/>
        </w:rPr>
      </w:pPr>
    </w:p>
    <w:p w:rsidR="003307BE" w:rsidRDefault="003307BE">
      <w:pPr>
        <w:pStyle w:val="Standard"/>
        <w:jc w:val="both"/>
        <w:rPr>
          <w:bCs/>
          <w:lang w:val="sq-AL"/>
        </w:rPr>
      </w:pPr>
    </w:p>
    <w:p w:rsidR="003307BE" w:rsidRDefault="00000000">
      <w:pPr>
        <w:pStyle w:val="Standard"/>
        <w:rPr>
          <w:b/>
          <w:bCs/>
          <w:lang w:val="sq-AL"/>
        </w:rPr>
      </w:pPr>
      <w:r>
        <w:rPr>
          <w:b/>
          <w:bCs/>
          <w:lang w:val="sq-AL"/>
        </w:rPr>
        <w:t>11. VLERËSIMI DHE PËRZGJEDHJA E PROJEKT-PROPOZIMEVE</w:t>
      </w:r>
    </w:p>
    <w:p w:rsidR="003307BE" w:rsidRDefault="003307BE">
      <w:pPr>
        <w:pStyle w:val="Text1"/>
        <w:spacing w:after="0"/>
        <w:ind w:left="0"/>
        <w:rPr>
          <w:b/>
          <w:bCs/>
          <w:color w:val="000000"/>
          <w:lang w:val="sq-AL"/>
        </w:rPr>
      </w:pPr>
    </w:p>
    <w:p w:rsidR="003307BE" w:rsidRDefault="00000000">
      <w:pPr>
        <w:pStyle w:val="Text1"/>
        <w:spacing w:after="0"/>
        <w:ind w:left="0"/>
        <w:rPr>
          <w:b/>
          <w:i/>
          <w:color w:val="000000"/>
          <w:lang w:val="sq-AL"/>
        </w:rPr>
      </w:pPr>
      <w:r>
        <w:rPr>
          <w:b/>
          <w:i/>
          <w:color w:val="000000"/>
          <w:lang w:val="sq-AL"/>
        </w:rPr>
        <w:t>Vlerësimi</w:t>
      </w:r>
    </w:p>
    <w:p w:rsidR="003307BE" w:rsidRDefault="00000000">
      <w:pPr>
        <w:pStyle w:val="Text1"/>
        <w:spacing w:after="0"/>
        <w:ind w:left="0"/>
        <w:rPr>
          <w:sz w:val="20"/>
          <w:lang w:val="sq-AL"/>
        </w:rPr>
      </w:pPr>
      <w:r>
        <w:rPr>
          <w:color w:val="000000"/>
          <w:lang w:val="sq-AL"/>
        </w:rPr>
        <w:t>Aplikimet do të shqyrtohen dhe vlerësohen nga Komisioni i Vlerësimit,</w:t>
      </w:r>
      <w:r>
        <w:rPr>
          <w:bCs/>
          <w:szCs w:val="24"/>
          <w:lang w:val="sq-AL"/>
        </w:rPr>
        <w:t xml:space="preserve"> i cili përbëhet nga përfaqësuesit e Bashkisë Tiranë dhe përfaqësuesit e shoq</w:t>
      </w:r>
      <w:r>
        <w:rPr>
          <w:bCs/>
          <w:lang w:val="sq-AL"/>
        </w:rPr>
        <w:t>ërisë civile.</w:t>
      </w:r>
    </w:p>
    <w:p w:rsidR="003307BE" w:rsidRDefault="003307BE">
      <w:pPr>
        <w:pStyle w:val="Text1"/>
        <w:spacing w:after="0"/>
        <w:ind w:left="0"/>
        <w:rPr>
          <w:bCs/>
          <w:lang w:val="sq-AL"/>
        </w:rPr>
      </w:pPr>
    </w:p>
    <w:p w:rsidR="003307BE" w:rsidRDefault="00000000">
      <w:pPr>
        <w:pStyle w:val="Text1"/>
        <w:spacing w:after="0"/>
        <w:ind w:left="0"/>
        <w:rPr>
          <w:sz w:val="20"/>
          <w:lang w:val="sq-AL"/>
        </w:rPr>
      </w:pPr>
      <w:r>
        <w:rPr>
          <w:bCs/>
          <w:i/>
          <w:lang w:val="sq-AL"/>
        </w:rPr>
        <w:t>Sh</w:t>
      </w:r>
      <w:r>
        <w:rPr>
          <w:bCs/>
          <w:i/>
          <w:szCs w:val="24"/>
          <w:lang w:val="sq-AL"/>
        </w:rPr>
        <w:t>ënim:  Përfaqësuesit e shoq</w:t>
      </w:r>
      <w:r>
        <w:rPr>
          <w:bCs/>
          <w:i/>
          <w:lang w:val="sq-AL"/>
        </w:rPr>
        <w:t>ërisë civile në cilësinë e anëtarit të Komisionit të Vlerësimit, zgjidhen me një proces të hapur dhe konkurrues. Për komisionin e vlerësimit të aplikimeve për thirrjen e pestë ReLOaD, përfaqësuesit e shoqërisë civile janë zgjedhur nga vetë OSHC-të gjatë takimit konsultues të mbajtur në datë 15.02.2024.</w:t>
      </w:r>
    </w:p>
    <w:p w:rsidR="003307BE" w:rsidRDefault="003307BE">
      <w:pPr>
        <w:pStyle w:val="Text1"/>
        <w:spacing w:after="0"/>
        <w:ind w:left="0"/>
        <w:rPr>
          <w:bCs/>
          <w:i/>
          <w:lang w:val="sq-AL"/>
        </w:rPr>
      </w:pPr>
    </w:p>
    <w:p w:rsidR="003307BE" w:rsidRDefault="00000000">
      <w:pPr>
        <w:pStyle w:val="Text1"/>
        <w:spacing w:after="0"/>
        <w:ind w:left="0"/>
        <w:rPr>
          <w:bCs/>
          <w:szCs w:val="24"/>
          <w:lang w:val="sq-AL"/>
        </w:rPr>
      </w:pPr>
      <w:r>
        <w:rPr>
          <w:bCs/>
          <w:szCs w:val="24"/>
          <w:lang w:val="sq-AL"/>
        </w:rPr>
        <w:t>Aplikimet do të vlerësohen në bazë të:</w:t>
      </w:r>
    </w:p>
    <w:p w:rsidR="003307BE" w:rsidRDefault="00000000">
      <w:pPr>
        <w:pStyle w:val="Text1"/>
        <w:spacing w:after="0"/>
        <w:ind w:left="0"/>
        <w:rPr>
          <w:bCs/>
          <w:szCs w:val="24"/>
          <w:lang w:val="sq-AL"/>
        </w:rPr>
      </w:pPr>
      <w:r>
        <w:rPr>
          <w:bCs/>
          <w:szCs w:val="24"/>
          <w:lang w:val="sq-AL"/>
        </w:rPr>
        <w:t xml:space="preserve"> </w:t>
      </w:r>
    </w:p>
    <w:p w:rsidR="003307BE" w:rsidRDefault="00000000">
      <w:pPr>
        <w:pStyle w:val="Text1"/>
        <w:tabs>
          <w:tab w:val="left" w:pos="567"/>
          <w:tab w:val="left" w:pos="2608"/>
          <w:tab w:val="left" w:pos="3317"/>
        </w:tabs>
        <w:spacing w:after="0"/>
        <w:ind w:left="0"/>
        <w:rPr>
          <w:bCs/>
          <w:i/>
          <w:szCs w:val="24"/>
          <w:lang w:val="sq-AL"/>
        </w:rPr>
      </w:pPr>
      <w:r>
        <w:rPr>
          <w:bCs/>
          <w:i/>
          <w:szCs w:val="24"/>
          <w:lang w:val="sq-AL"/>
        </w:rPr>
        <w:t>(I) Kritereve administrative:</w:t>
      </w:r>
    </w:p>
    <w:p w:rsidR="003307BE" w:rsidRDefault="00000000" w:rsidP="00050E29">
      <w:pPr>
        <w:pStyle w:val="Text1"/>
        <w:numPr>
          <w:ilvl w:val="0"/>
          <w:numId w:val="8"/>
        </w:numPr>
        <w:spacing w:after="120"/>
        <w:rPr>
          <w:bCs/>
          <w:lang w:val="sq-AL"/>
        </w:rPr>
      </w:pPr>
      <w:r>
        <w:rPr>
          <w:bCs/>
          <w:lang w:val="sq-AL"/>
        </w:rPr>
        <w:t>Aplikimi është dorëzuar brenda afatit, specifikuar në seksionin 9 të këtij Udhëzuesi;</w:t>
      </w:r>
    </w:p>
    <w:p w:rsidR="003307BE" w:rsidRDefault="00000000" w:rsidP="00050E29">
      <w:pPr>
        <w:pStyle w:val="Text1"/>
        <w:numPr>
          <w:ilvl w:val="0"/>
          <w:numId w:val="45"/>
        </w:numPr>
        <w:spacing w:after="120"/>
        <w:rPr>
          <w:bCs/>
          <w:lang w:val="sq-AL"/>
        </w:rPr>
      </w:pPr>
      <w:r>
        <w:rPr>
          <w:bCs/>
          <w:lang w:val="sq-AL"/>
        </w:rPr>
        <w:t>Aplikimi është i kompletuar sipas kërkesave të seksionit nr. 8;</w:t>
      </w:r>
    </w:p>
    <w:p w:rsidR="003307BE" w:rsidRDefault="00000000" w:rsidP="00050E29">
      <w:pPr>
        <w:pStyle w:val="Text1"/>
        <w:numPr>
          <w:ilvl w:val="0"/>
          <w:numId w:val="46"/>
        </w:numPr>
        <w:spacing w:after="120"/>
        <w:rPr>
          <w:bCs/>
          <w:lang w:val="sq-AL"/>
        </w:rPr>
      </w:pPr>
      <w:r>
        <w:rPr>
          <w:bCs/>
          <w:lang w:val="sq-AL"/>
        </w:rPr>
        <w:t>Dokumentacioni është dorëzuar në 3 kopje të shtypura dhe në një kopje elektronike (CD apo USB).</w:t>
      </w:r>
    </w:p>
    <w:p w:rsidR="003307BE" w:rsidRDefault="00000000" w:rsidP="00050E29">
      <w:pPr>
        <w:pStyle w:val="Text1"/>
        <w:numPr>
          <w:ilvl w:val="0"/>
          <w:numId w:val="47"/>
        </w:numPr>
        <w:spacing w:after="120"/>
        <w:rPr>
          <w:bCs/>
          <w:lang w:val="sq-AL"/>
        </w:rPr>
      </w:pPr>
      <w:r>
        <w:rPr>
          <w:bCs/>
          <w:lang w:val="sq-AL"/>
        </w:rPr>
        <w:t>Konfirmimi se organizata aplikuese, partneri (dhe bashkëpunëtorët, nëse ka ndonjë) dhe aktivitetet i përmbushin kushtet e specifikuara në seksionet 3, 4, 5, 6, 7 dhe 8 (të përcaktuara më sipër).</w:t>
      </w:r>
    </w:p>
    <w:p w:rsidR="003307BE" w:rsidRDefault="00000000">
      <w:pPr>
        <w:pStyle w:val="Text1"/>
        <w:tabs>
          <w:tab w:val="left" w:pos="567"/>
          <w:tab w:val="left" w:pos="2608"/>
          <w:tab w:val="left" w:pos="3317"/>
        </w:tabs>
        <w:spacing w:before="240"/>
        <w:ind w:left="0"/>
        <w:rPr>
          <w:bCs/>
          <w:i/>
          <w:szCs w:val="24"/>
          <w:lang w:val="sq-AL"/>
        </w:rPr>
      </w:pPr>
      <w:r>
        <w:rPr>
          <w:bCs/>
          <w:i/>
          <w:szCs w:val="24"/>
          <w:lang w:val="sq-AL"/>
        </w:rPr>
        <w:t>(II) Kritereve të përmbajtjes/vlerësimi i cilësisë së projektit dhe vlerësimi financiar:</w:t>
      </w:r>
    </w:p>
    <w:p w:rsidR="003307BE" w:rsidRDefault="00000000">
      <w:pPr>
        <w:pStyle w:val="Standard"/>
        <w:jc w:val="both"/>
        <w:rPr>
          <w:bCs/>
          <w:lang w:val="sq-AL"/>
        </w:rPr>
      </w:pPr>
      <w:r>
        <w:rPr>
          <w:bCs/>
          <w:lang w:val="sq-AL"/>
        </w:rPr>
        <w:t>Vlerësimi i cilësisë së projektit, përfshirë edhe buxhetin e propozuar, do të bëhet në përputhje me kriteret e specifikuara në Tabelën Vlerësuese që është pjesë përbërëse e këtij dokumenti.</w:t>
      </w:r>
    </w:p>
    <w:p w:rsidR="003307BE" w:rsidRDefault="003307BE">
      <w:pPr>
        <w:pStyle w:val="Text1"/>
        <w:tabs>
          <w:tab w:val="left" w:pos="567"/>
          <w:tab w:val="left" w:pos="2608"/>
          <w:tab w:val="left" w:pos="3317"/>
        </w:tabs>
        <w:spacing w:after="0"/>
        <w:ind w:left="0"/>
        <w:rPr>
          <w:bCs/>
          <w:szCs w:val="24"/>
          <w:lang w:val="sq-AL"/>
        </w:rPr>
      </w:pPr>
    </w:p>
    <w:p w:rsidR="003307BE" w:rsidRDefault="00000000">
      <w:pPr>
        <w:pStyle w:val="Standard"/>
        <w:jc w:val="both"/>
        <w:rPr>
          <w:b/>
          <w:bCs/>
          <w:i/>
          <w:lang w:val="sq-AL"/>
        </w:rPr>
      </w:pPr>
      <w:r>
        <w:rPr>
          <w:b/>
          <w:bCs/>
          <w:i/>
          <w:lang w:val="sq-AL"/>
        </w:rPr>
        <w:t>Sistemi i vlerësimit është si më poshtë:</w:t>
      </w:r>
    </w:p>
    <w:p w:rsidR="003307BE" w:rsidRDefault="00000000">
      <w:pPr>
        <w:pStyle w:val="Standard"/>
        <w:spacing w:before="120"/>
        <w:jc w:val="both"/>
        <w:rPr>
          <w:sz w:val="20"/>
          <w:szCs w:val="20"/>
          <w:lang w:val="sq-AL"/>
        </w:rPr>
      </w:pPr>
      <w:r>
        <w:rPr>
          <w:lang w:val="sq-AL"/>
        </w:rPr>
        <w:t xml:space="preserve">Kriteret e vlerësimit ndahen në seksione dhe nën-seksione: </w:t>
      </w:r>
      <w:r>
        <w:rPr>
          <w:b/>
          <w:i/>
          <w:lang w:val="sq-AL"/>
        </w:rPr>
        <w:t xml:space="preserve">Secili nën-seksion duhet të vlerësohet me pikët e caktuara nga 1 në 5, në këtë mënyrë: 1= shumë keq; 2= keq; 3= pranueshëm; 4= mirë; 5= shumë mirë. </w:t>
      </w:r>
      <w:r>
        <w:rPr>
          <w:lang w:val="sq-AL"/>
        </w:rPr>
        <w:t>Secili anëtar i komisionit plotëson një tabelë individuale vlerësuese dhe të gjithë anëtarët e nënshkruajnë tabelën vlerësuese përmbledhëse për secilin projekt propozim. Radhitja e projekt propozimeve bëhet në atë mënyrë ku projekt propozimi i radhitur si i pari është ai i cili ka fituar numrin më të lartë të pikëve deri tek projekt propozimi me numrin më të ulët të pikëve.</w:t>
      </w:r>
    </w:p>
    <w:p w:rsidR="003307BE" w:rsidRDefault="00000000" w:rsidP="00050E29">
      <w:pPr>
        <w:pStyle w:val="Standard"/>
        <w:numPr>
          <w:ilvl w:val="0"/>
          <w:numId w:val="9"/>
        </w:numPr>
        <w:spacing w:before="120"/>
        <w:jc w:val="both"/>
        <w:rPr>
          <w:sz w:val="20"/>
          <w:szCs w:val="20"/>
          <w:lang w:val="sq-AL"/>
        </w:rPr>
      </w:pPr>
      <w:r>
        <w:rPr>
          <w:bCs/>
          <w:lang w:val="sq-AL"/>
        </w:rPr>
        <w:t>Pik</w:t>
      </w:r>
      <w:r>
        <w:rPr>
          <w:lang w:val="sq-AL"/>
        </w:rPr>
        <w:t>ët maksimale të vlerësimit për një projekt – propozim janë 100;</w:t>
      </w:r>
    </w:p>
    <w:p w:rsidR="003307BE" w:rsidRDefault="00000000" w:rsidP="00050E29">
      <w:pPr>
        <w:pStyle w:val="Standard"/>
        <w:numPr>
          <w:ilvl w:val="0"/>
          <w:numId w:val="48"/>
        </w:numPr>
        <w:spacing w:before="120"/>
        <w:jc w:val="both"/>
        <w:rPr>
          <w:sz w:val="20"/>
          <w:szCs w:val="20"/>
          <w:lang w:val="sq-AL"/>
        </w:rPr>
      </w:pPr>
      <w:r>
        <w:rPr>
          <w:lang w:val="sq-AL"/>
        </w:rPr>
        <w:t>Projektet të cilat aplikojnë për një shumë granti nga 500.000 – 1.000.000 Lekë, do të merren në konsideratë për dhënien e grantit, vetëm nëse vlerësohen me më shumë se 60 pikë;</w:t>
      </w:r>
    </w:p>
    <w:p w:rsidR="003307BE" w:rsidRDefault="00000000" w:rsidP="00050E29">
      <w:pPr>
        <w:pStyle w:val="Standard"/>
        <w:numPr>
          <w:ilvl w:val="0"/>
          <w:numId w:val="49"/>
        </w:numPr>
        <w:spacing w:before="120"/>
        <w:jc w:val="both"/>
        <w:rPr>
          <w:sz w:val="20"/>
          <w:szCs w:val="20"/>
          <w:lang w:val="sq-AL"/>
        </w:rPr>
      </w:pPr>
      <w:r>
        <w:rPr>
          <w:lang w:val="sq-AL"/>
        </w:rPr>
        <w:t>Projektet të cilat aplikojnë për një shumë granti nga 1.000.001 – 1.500.000 Lekë do të merren në konsideratë për dhënien e grantit vetëm nëse vlerësohen me më shumë se 80 pikë.</w:t>
      </w:r>
    </w:p>
    <w:p w:rsidR="003307BE" w:rsidRDefault="00000000">
      <w:pPr>
        <w:pStyle w:val="Standard"/>
        <w:spacing w:before="120"/>
        <w:jc w:val="both"/>
        <w:rPr>
          <w:bCs/>
          <w:lang w:val="sq-AL"/>
        </w:rPr>
      </w:pPr>
      <w:r>
        <w:rPr>
          <w:bCs/>
          <w:lang w:val="sq-AL"/>
        </w:rPr>
        <w:t>Vendimi për aprovimin e grantit mbështetet mbi numrin e përgjithshëm të projekteve që mund të financohen me buxhetin në dispozicion. Projektet që kanë fituar numër më të madh të pikëve do të kenë prioritet gjatë dhënies së granteve.</w:t>
      </w:r>
    </w:p>
    <w:p w:rsidR="003307BE" w:rsidRDefault="003307BE">
      <w:pPr>
        <w:pStyle w:val="Standard"/>
        <w:spacing w:before="120"/>
        <w:jc w:val="both"/>
        <w:rPr>
          <w:bCs/>
          <w:lang w:val="sq-AL"/>
        </w:rPr>
      </w:pPr>
    </w:p>
    <w:p w:rsidR="003307BE" w:rsidRDefault="00000000">
      <w:pPr>
        <w:pStyle w:val="Standard"/>
        <w:tabs>
          <w:tab w:val="left" w:pos="2688"/>
        </w:tabs>
        <w:jc w:val="both"/>
        <w:rPr>
          <w:i/>
          <w:lang w:val="sq-AL"/>
        </w:rPr>
      </w:pPr>
      <w:r>
        <w:rPr>
          <w:i/>
          <w:lang w:val="sq-AL"/>
        </w:rPr>
        <w:t>Shënim për Seksionin 1/Tabela e Vlerësimit: Kapaciteti financiar dhe operativ i organizatës aplikuese</w:t>
      </w:r>
    </w:p>
    <w:p w:rsidR="003307BE" w:rsidRDefault="003307BE">
      <w:pPr>
        <w:pStyle w:val="Standard"/>
        <w:jc w:val="both"/>
        <w:rPr>
          <w:i/>
          <w:color w:val="000000"/>
          <w:lang w:val="sq-AL"/>
        </w:rPr>
      </w:pPr>
    </w:p>
    <w:p w:rsidR="003307BE" w:rsidRDefault="00000000">
      <w:pPr>
        <w:pStyle w:val="Text1"/>
        <w:tabs>
          <w:tab w:val="left" w:pos="1350"/>
        </w:tabs>
        <w:spacing w:after="0"/>
        <w:ind w:left="0"/>
        <w:rPr>
          <w:sz w:val="20"/>
          <w:lang w:val="sq-AL"/>
        </w:rPr>
      </w:pPr>
      <w:r>
        <w:rPr>
          <w:color w:val="000000"/>
          <w:lang w:val="sq-AL"/>
        </w:rPr>
        <w:t>Për të kaluar për vlerësim të mëtejshëm, projekti duhet të vlerësohet me 10 ose më shumë pikë, në seksionin 1. Kjo nënkupton që</w:t>
      </w:r>
      <w:r>
        <w:rPr>
          <w:bCs/>
          <w:szCs w:val="24"/>
          <w:lang w:val="sq-AL"/>
        </w:rPr>
        <w:t xml:space="preserve"> organizatat kanë në dispozicion buxhet të mjaftueshëm për financimin e aktiviteteve të rregullta gjatë gjithë periudhës së zbatimit të projektit si dhe kanë aftësi profesionale dhe kualifikime të cilat janë të domosdoshme për zbatimin e suksesshëm të projektit. E njëjta vlen si për organizatën aplikuese ashtu edhe për partnerët.</w:t>
      </w:r>
    </w:p>
    <w:p w:rsidR="003307BE" w:rsidRDefault="003307BE">
      <w:pPr>
        <w:pStyle w:val="Standard"/>
        <w:jc w:val="both"/>
        <w:rPr>
          <w:color w:val="000000"/>
          <w:lang w:val="sq-AL"/>
        </w:rPr>
      </w:pPr>
    </w:p>
    <w:p w:rsidR="003307BE" w:rsidRDefault="00000000">
      <w:pPr>
        <w:pStyle w:val="Standard"/>
        <w:jc w:val="both"/>
        <w:rPr>
          <w:sz w:val="20"/>
          <w:szCs w:val="20"/>
          <w:lang w:val="sq-AL"/>
        </w:rPr>
      </w:pPr>
      <w:r>
        <w:rPr>
          <w:color w:val="000000"/>
          <w:lang w:val="sq-AL"/>
        </w:rPr>
        <w:t>Projekti përjashtohet nga procesi i m</w:t>
      </w:r>
      <w:bookmarkStart w:id="2" w:name="_Hlk534302516"/>
      <w:r>
        <w:rPr>
          <w:color w:val="000000"/>
          <w:lang w:val="sq-AL"/>
        </w:rPr>
        <w:t>ë</w:t>
      </w:r>
      <w:bookmarkEnd w:id="2"/>
      <w:r>
        <w:rPr>
          <w:color w:val="000000"/>
          <w:lang w:val="sq-AL"/>
        </w:rPr>
        <w:t>tejshëm i vlerësimit në rast se numri total i pikëve në Seksionin 1 është më i ulët se 10 pikë.</w:t>
      </w:r>
    </w:p>
    <w:p w:rsidR="003307BE" w:rsidRDefault="003307BE">
      <w:pPr>
        <w:pStyle w:val="Standard"/>
        <w:jc w:val="both"/>
        <w:rPr>
          <w:color w:val="000000"/>
          <w:lang w:val="sq-AL"/>
        </w:rPr>
      </w:pPr>
    </w:p>
    <w:p w:rsidR="003307BE" w:rsidRDefault="00000000">
      <w:pPr>
        <w:pStyle w:val="Standard"/>
        <w:jc w:val="both"/>
        <w:rPr>
          <w:i/>
          <w:lang w:val="sq-AL"/>
        </w:rPr>
      </w:pPr>
      <w:r>
        <w:rPr>
          <w:i/>
          <w:lang w:val="sq-AL"/>
        </w:rPr>
        <w:t>Shënim për Seksionin 2/Tabela e Vlerësimit: Relevanca</w:t>
      </w:r>
    </w:p>
    <w:p w:rsidR="003307BE" w:rsidRDefault="003307BE">
      <w:pPr>
        <w:pStyle w:val="Standard"/>
        <w:jc w:val="both"/>
        <w:rPr>
          <w:i/>
          <w:lang w:val="sq-AL"/>
        </w:rPr>
      </w:pPr>
    </w:p>
    <w:p w:rsidR="003307BE" w:rsidRDefault="00000000">
      <w:pPr>
        <w:pStyle w:val="Text1"/>
        <w:tabs>
          <w:tab w:val="left" w:pos="2608"/>
          <w:tab w:val="left" w:pos="3317"/>
        </w:tabs>
        <w:spacing w:before="120" w:after="120"/>
        <w:ind w:left="0"/>
        <w:rPr>
          <w:sz w:val="20"/>
          <w:lang w:val="sq-AL"/>
        </w:rPr>
      </w:pPr>
      <w:r>
        <w:rPr>
          <w:color w:val="000000"/>
          <w:lang w:val="sq-AL"/>
        </w:rPr>
        <w:t>Për të kaluar për vlerësim të mëtejshëm, projekti duhet të vlerësohet me 15 ose më shumë pikë, në seksionin 2. Kjo nënkupton që</w:t>
      </w:r>
      <w:r>
        <w:rPr>
          <w:bCs/>
          <w:szCs w:val="24"/>
          <w:lang w:val="sq-AL"/>
        </w:rPr>
        <w:t xml:space="preserve"> projekti duhet të jetë relevant me qëllimin e thirrjes publike dhe fushat prioritare, cilësia e projektit, rezultatet e pritshme dhe qëndrueshmëria e projektit janë të konsiderueshme si dhe fondet që kërkohen janë në përputhje me aktivitetet e parashikuara.  </w:t>
      </w:r>
    </w:p>
    <w:p w:rsidR="003307BE" w:rsidRDefault="003307BE">
      <w:pPr>
        <w:pStyle w:val="Text1"/>
        <w:tabs>
          <w:tab w:val="left" w:pos="765"/>
        </w:tabs>
        <w:spacing w:after="0"/>
        <w:ind w:left="0"/>
        <w:rPr>
          <w:bCs/>
          <w:szCs w:val="24"/>
          <w:shd w:val="clear" w:color="auto" w:fill="FFFF00"/>
          <w:lang w:val="sq-AL"/>
        </w:rPr>
      </w:pPr>
    </w:p>
    <w:p w:rsidR="003307BE" w:rsidRDefault="00000000">
      <w:pPr>
        <w:pStyle w:val="Text1"/>
        <w:tabs>
          <w:tab w:val="left" w:pos="765"/>
        </w:tabs>
        <w:spacing w:after="0"/>
        <w:ind w:left="0"/>
        <w:rPr>
          <w:color w:val="000000"/>
          <w:lang w:val="sq-AL"/>
        </w:rPr>
      </w:pPr>
      <w:r>
        <w:rPr>
          <w:color w:val="000000"/>
          <w:lang w:val="sq-AL"/>
        </w:rPr>
        <w:t>Projekti përjashtohet nga shqyrtimi i mëtejshëm në rast se numri total i pikëve në Seksionin 2 është më i ulët se 15 pikë, sepse pikët tregojnë se megjithëse aplikanti i ka kapacitetet financiare dhe operative, koncepti i projektit nuk është relevant apo në përputhje me përparësitë e përcaktuara në thirrjen publike/ projekti nuk trajton nevojat e komunitetit.</w:t>
      </w:r>
    </w:p>
    <w:p w:rsidR="003307BE" w:rsidRDefault="003307BE">
      <w:pPr>
        <w:pStyle w:val="Text1"/>
        <w:tabs>
          <w:tab w:val="left" w:pos="765"/>
        </w:tabs>
        <w:spacing w:after="0"/>
        <w:ind w:left="0"/>
        <w:jc w:val="left"/>
        <w:rPr>
          <w:b/>
          <w:szCs w:val="24"/>
          <w:lang w:val="sq-AL"/>
        </w:rPr>
      </w:pPr>
    </w:p>
    <w:p w:rsidR="003307BE" w:rsidRDefault="003307BE">
      <w:pPr>
        <w:pStyle w:val="Text1"/>
        <w:tabs>
          <w:tab w:val="left" w:pos="765"/>
        </w:tabs>
        <w:spacing w:after="0"/>
        <w:ind w:left="0"/>
        <w:jc w:val="left"/>
        <w:rPr>
          <w:b/>
          <w:szCs w:val="24"/>
          <w:lang w:val="sq-AL"/>
        </w:rPr>
      </w:pPr>
    </w:p>
    <w:p w:rsidR="003307BE" w:rsidRDefault="003307BE">
      <w:pPr>
        <w:pStyle w:val="Text1"/>
        <w:tabs>
          <w:tab w:val="left" w:pos="765"/>
        </w:tabs>
        <w:spacing w:after="0"/>
        <w:ind w:left="0"/>
        <w:jc w:val="left"/>
        <w:rPr>
          <w:b/>
          <w:szCs w:val="24"/>
          <w:lang w:val="sq-AL"/>
        </w:rPr>
      </w:pPr>
    </w:p>
    <w:p w:rsidR="003307BE" w:rsidRDefault="003307BE">
      <w:pPr>
        <w:pStyle w:val="Text1"/>
        <w:tabs>
          <w:tab w:val="left" w:pos="765"/>
        </w:tabs>
        <w:spacing w:after="0"/>
        <w:ind w:left="0"/>
        <w:jc w:val="left"/>
        <w:rPr>
          <w:b/>
          <w:szCs w:val="24"/>
          <w:lang w:val="sq-AL"/>
        </w:rPr>
      </w:pPr>
    </w:p>
    <w:p w:rsidR="003307BE" w:rsidRDefault="003307BE">
      <w:pPr>
        <w:pStyle w:val="Text1"/>
        <w:tabs>
          <w:tab w:val="left" w:pos="765"/>
        </w:tabs>
        <w:spacing w:after="0"/>
        <w:ind w:left="0"/>
        <w:jc w:val="left"/>
        <w:rPr>
          <w:b/>
          <w:szCs w:val="24"/>
          <w:lang w:val="sq-AL"/>
        </w:rPr>
      </w:pPr>
    </w:p>
    <w:p w:rsidR="003307BE" w:rsidRDefault="003307BE">
      <w:pPr>
        <w:pStyle w:val="Text1"/>
        <w:tabs>
          <w:tab w:val="left" w:pos="765"/>
        </w:tabs>
        <w:spacing w:after="0"/>
        <w:ind w:left="0"/>
        <w:jc w:val="left"/>
        <w:rPr>
          <w:b/>
          <w:szCs w:val="24"/>
          <w:lang w:val="sq-AL"/>
        </w:rPr>
      </w:pPr>
    </w:p>
    <w:p w:rsidR="003307BE" w:rsidRDefault="003307BE">
      <w:pPr>
        <w:pStyle w:val="Text1"/>
        <w:tabs>
          <w:tab w:val="left" w:pos="765"/>
        </w:tabs>
        <w:spacing w:after="0"/>
        <w:ind w:left="0"/>
        <w:jc w:val="left"/>
        <w:rPr>
          <w:b/>
          <w:szCs w:val="24"/>
          <w:lang w:val="sq-AL"/>
        </w:rPr>
      </w:pPr>
    </w:p>
    <w:p w:rsidR="003307BE" w:rsidRDefault="003307BE">
      <w:pPr>
        <w:pStyle w:val="Text1"/>
        <w:tabs>
          <w:tab w:val="left" w:pos="765"/>
        </w:tabs>
        <w:spacing w:after="0"/>
        <w:ind w:left="0"/>
        <w:jc w:val="left"/>
        <w:rPr>
          <w:b/>
          <w:szCs w:val="24"/>
          <w:lang w:val="sq-AL"/>
        </w:rPr>
      </w:pPr>
    </w:p>
    <w:p w:rsidR="003307BE" w:rsidRDefault="003307BE">
      <w:pPr>
        <w:pStyle w:val="Text1"/>
        <w:tabs>
          <w:tab w:val="left" w:pos="765"/>
        </w:tabs>
        <w:spacing w:after="0"/>
        <w:ind w:left="0"/>
        <w:jc w:val="left"/>
        <w:rPr>
          <w:b/>
          <w:szCs w:val="24"/>
          <w:lang w:val="sq-AL"/>
        </w:rPr>
      </w:pPr>
    </w:p>
    <w:p w:rsidR="003307BE" w:rsidRDefault="003307BE">
      <w:pPr>
        <w:pStyle w:val="Text1"/>
        <w:tabs>
          <w:tab w:val="left" w:pos="765"/>
        </w:tabs>
        <w:spacing w:after="0"/>
        <w:ind w:left="0"/>
        <w:jc w:val="left"/>
        <w:rPr>
          <w:b/>
          <w:szCs w:val="24"/>
          <w:lang w:val="sq-AL"/>
        </w:rPr>
      </w:pPr>
    </w:p>
    <w:p w:rsidR="003307BE" w:rsidRDefault="00000000">
      <w:pPr>
        <w:pStyle w:val="Text1"/>
        <w:tabs>
          <w:tab w:val="left" w:pos="765"/>
        </w:tabs>
        <w:spacing w:after="0"/>
        <w:ind w:left="0"/>
        <w:jc w:val="left"/>
        <w:rPr>
          <w:b/>
          <w:szCs w:val="24"/>
          <w:lang w:val="sq-AL"/>
        </w:rPr>
      </w:pPr>
      <w:r>
        <w:rPr>
          <w:b/>
          <w:szCs w:val="24"/>
          <w:lang w:val="sq-AL"/>
        </w:rPr>
        <w:t>Tabela e vlerësimit</w:t>
      </w:r>
    </w:p>
    <w:p w:rsidR="003307BE" w:rsidRDefault="003307BE">
      <w:pPr>
        <w:pStyle w:val="Text1"/>
        <w:tabs>
          <w:tab w:val="left" w:pos="765"/>
        </w:tabs>
        <w:spacing w:after="0"/>
        <w:ind w:left="0"/>
        <w:jc w:val="center"/>
        <w:rPr>
          <w:b/>
          <w:szCs w:val="24"/>
          <w:lang w:val="sq-AL"/>
        </w:rPr>
      </w:pPr>
    </w:p>
    <w:tbl>
      <w:tblPr>
        <w:tblW w:w="8910" w:type="dxa"/>
        <w:tblInd w:w="-296" w:type="dxa"/>
        <w:tblLayout w:type="fixed"/>
        <w:tblCellMar>
          <w:left w:w="0" w:type="dxa"/>
          <w:right w:w="0" w:type="dxa"/>
        </w:tblCellMar>
        <w:tblLook w:val="0000" w:firstRow="0" w:lastRow="0" w:firstColumn="0" w:lastColumn="0" w:noHBand="0" w:noVBand="0"/>
      </w:tblPr>
      <w:tblGrid>
        <w:gridCol w:w="7020"/>
        <w:gridCol w:w="990"/>
        <w:gridCol w:w="900"/>
      </w:tblGrid>
      <w:tr w:rsidR="003307BE">
        <w:trPr>
          <w:trHeight w:val="507"/>
        </w:trPr>
        <w:tc>
          <w:tcPr>
            <w:tcW w:w="7020" w:type="dxa"/>
            <w:tcBorders>
              <w:top w:val="single" w:sz="4" w:space="0" w:color="000000"/>
              <w:left w:val="single" w:sz="4" w:space="0" w:color="000000"/>
              <w:bottom w:val="single" w:sz="4" w:space="0" w:color="000000"/>
            </w:tcBorders>
            <w:vAlign w:val="bottom"/>
          </w:tcPr>
          <w:p w:rsidR="003307BE" w:rsidRDefault="00000000">
            <w:pPr>
              <w:pStyle w:val="Standard"/>
              <w:widowControl w:val="0"/>
              <w:rPr>
                <w:rFonts w:eastAsia="Arial"/>
                <w:b/>
                <w:color w:val="000000"/>
                <w:sz w:val="18"/>
                <w:szCs w:val="18"/>
                <w:lang w:val="sq-AL"/>
              </w:rPr>
            </w:pPr>
            <w:r>
              <w:rPr>
                <w:rFonts w:eastAsia="Arial"/>
                <w:b/>
                <w:color w:val="000000"/>
                <w:sz w:val="18"/>
                <w:szCs w:val="18"/>
                <w:lang w:val="sq-AL"/>
              </w:rPr>
              <w:t>Seksioni</w:t>
            </w:r>
          </w:p>
        </w:tc>
        <w:tc>
          <w:tcPr>
            <w:tcW w:w="990" w:type="dxa"/>
            <w:tcBorders>
              <w:top w:val="single" w:sz="4" w:space="0" w:color="000000"/>
              <w:left w:val="single" w:sz="4" w:space="0" w:color="000000"/>
              <w:bottom w:val="single" w:sz="4" w:space="0" w:color="000000"/>
            </w:tcBorders>
          </w:tcPr>
          <w:p w:rsidR="003307BE" w:rsidRDefault="00000000">
            <w:pPr>
              <w:pStyle w:val="Standard"/>
              <w:widowControl w:val="0"/>
              <w:ind w:left="100"/>
              <w:rPr>
                <w:rFonts w:eastAsia="Arial"/>
                <w:b/>
                <w:color w:val="000000"/>
                <w:sz w:val="18"/>
                <w:szCs w:val="18"/>
                <w:lang w:val="sq-AL"/>
              </w:rPr>
            </w:pPr>
            <w:r>
              <w:rPr>
                <w:rFonts w:eastAsia="Arial"/>
                <w:b/>
                <w:color w:val="000000"/>
                <w:sz w:val="18"/>
                <w:szCs w:val="18"/>
                <w:lang w:val="sq-AL"/>
              </w:rPr>
              <w:t>Pikët maksimale</w:t>
            </w:r>
          </w:p>
        </w:tc>
        <w:tc>
          <w:tcPr>
            <w:tcW w:w="900" w:type="dxa"/>
            <w:tcBorders>
              <w:top w:val="single" w:sz="4" w:space="0" w:color="000000"/>
              <w:left w:val="single" w:sz="4" w:space="0" w:color="000000"/>
              <w:bottom w:val="single" w:sz="4" w:space="0" w:color="000000"/>
              <w:right w:val="single" w:sz="4" w:space="0" w:color="000000"/>
            </w:tcBorders>
          </w:tcPr>
          <w:p w:rsidR="003307BE" w:rsidRDefault="00000000">
            <w:pPr>
              <w:pStyle w:val="Standard"/>
              <w:widowControl w:val="0"/>
              <w:ind w:left="100"/>
              <w:rPr>
                <w:rFonts w:eastAsia="Arial"/>
                <w:b/>
                <w:color w:val="000000"/>
                <w:sz w:val="18"/>
                <w:szCs w:val="18"/>
                <w:lang w:val="sq-AL"/>
              </w:rPr>
            </w:pPr>
            <w:r>
              <w:rPr>
                <w:rFonts w:eastAsia="Arial"/>
                <w:b/>
                <w:color w:val="000000"/>
                <w:sz w:val="18"/>
                <w:szCs w:val="18"/>
                <w:lang w:val="sq-AL"/>
              </w:rPr>
              <w:t>Pikët mesatare</w:t>
            </w:r>
          </w:p>
        </w:tc>
      </w:tr>
      <w:tr w:rsidR="003307BE">
        <w:trPr>
          <w:trHeight w:val="270"/>
        </w:trPr>
        <w:tc>
          <w:tcPr>
            <w:tcW w:w="7020" w:type="dxa"/>
            <w:tcBorders>
              <w:top w:val="single" w:sz="4" w:space="0" w:color="000000"/>
              <w:left w:val="single" w:sz="4" w:space="0" w:color="000000"/>
              <w:bottom w:val="single" w:sz="4" w:space="0" w:color="000000"/>
            </w:tcBorders>
            <w:shd w:val="clear" w:color="auto" w:fill="B3B2AF"/>
            <w:vAlign w:val="bottom"/>
          </w:tcPr>
          <w:p w:rsidR="003307BE" w:rsidRDefault="00000000">
            <w:pPr>
              <w:pStyle w:val="Standard"/>
              <w:widowControl w:val="0"/>
              <w:rPr>
                <w:rFonts w:eastAsia="Arial"/>
                <w:color w:val="000000"/>
                <w:sz w:val="18"/>
                <w:szCs w:val="18"/>
                <w:lang w:val="sq-AL"/>
              </w:rPr>
            </w:pPr>
            <w:r>
              <w:rPr>
                <w:rFonts w:eastAsia="Arial"/>
                <w:color w:val="000000"/>
                <w:sz w:val="18"/>
                <w:szCs w:val="18"/>
                <w:lang w:val="sq-AL"/>
              </w:rPr>
              <w:t>1. Kapacitetet financiare dhe operative</w:t>
            </w:r>
          </w:p>
        </w:tc>
        <w:tc>
          <w:tcPr>
            <w:tcW w:w="990" w:type="dxa"/>
            <w:tcBorders>
              <w:top w:val="single" w:sz="4" w:space="0" w:color="000000"/>
              <w:left w:val="single" w:sz="4" w:space="0" w:color="000000"/>
              <w:bottom w:val="single" w:sz="4" w:space="0" w:color="000000"/>
            </w:tcBorders>
            <w:shd w:val="clear" w:color="auto" w:fill="B3B2AF"/>
          </w:tcPr>
          <w:p w:rsidR="003307BE" w:rsidRDefault="00000000">
            <w:pPr>
              <w:pStyle w:val="Standard"/>
              <w:widowControl w:val="0"/>
              <w:ind w:left="100"/>
              <w:jc w:val="center"/>
              <w:rPr>
                <w:rFonts w:eastAsia="Arial"/>
                <w:color w:val="000000"/>
                <w:sz w:val="18"/>
                <w:szCs w:val="18"/>
                <w:lang w:val="sq-AL"/>
              </w:rPr>
            </w:pPr>
            <w:r>
              <w:rPr>
                <w:rFonts w:eastAsia="Arial"/>
                <w:color w:val="000000"/>
                <w:sz w:val="18"/>
                <w:szCs w:val="18"/>
                <w:lang w:val="sq-AL"/>
              </w:rPr>
              <w:t>15</w:t>
            </w:r>
          </w:p>
        </w:tc>
        <w:tc>
          <w:tcPr>
            <w:tcW w:w="900" w:type="dxa"/>
            <w:tcBorders>
              <w:top w:val="single" w:sz="4" w:space="0" w:color="000000"/>
              <w:left w:val="single" w:sz="4" w:space="0" w:color="000000"/>
              <w:bottom w:val="single" w:sz="4" w:space="0" w:color="000000"/>
              <w:right w:val="single" w:sz="4" w:space="0" w:color="000000"/>
            </w:tcBorders>
            <w:shd w:val="clear" w:color="auto" w:fill="B3B2AF"/>
          </w:tcPr>
          <w:p w:rsidR="003307BE" w:rsidRDefault="003307BE">
            <w:pPr>
              <w:pStyle w:val="Standard"/>
              <w:widowControl w:val="0"/>
              <w:snapToGrid w:val="0"/>
              <w:ind w:left="100"/>
              <w:rPr>
                <w:rFonts w:eastAsia="Arial"/>
                <w:color w:val="000000"/>
                <w:sz w:val="18"/>
                <w:szCs w:val="18"/>
                <w:lang w:val="sq-AL"/>
              </w:rPr>
            </w:pPr>
          </w:p>
        </w:tc>
      </w:tr>
      <w:tr w:rsidR="003307BE">
        <w:trPr>
          <w:trHeight w:val="367"/>
        </w:trPr>
        <w:tc>
          <w:tcPr>
            <w:tcW w:w="7020" w:type="dxa"/>
            <w:tcBorders>
              <w:top w:val="single" w:sz="4" w:space="0" w:color="000000"/>
              <w:left w:val="single" w:sz="4" w:space="0" w:color="000000"/>
              <w:bottom w:val="single" w:sz="4" w:space="0" w:color="000000"/>
            </w:tcBorders>
            <w:vAlign w:val="bottom"/>
          </w:tcPr>
          <w:p w:rsidR="003307BE" w:rsidRDefault="00000000">
            <w:pPr>
              <w:pStyle w:val="Standard"/>
              <w:widowControl w:val="0"/>
              <w:rPr>
                <w:rFonts w:eastAsia="Arial"/>
                <w:color w:val="000000"/>
                <w:sz w:val="18"/>
                <w:szCs w:val="18"/>
                <w:lang w:val="sq-AL"/>
              </w:rPr>
            </w:pPr>
            <w:r>
              <w:rPr>
                <w:rFonts w:eastAsia="Arial"/>
                <w:color w:val="000000"/>
                <w:sz w:val="18"/>
                <w:szCs w:val="18"/>
                <w:lang w:val="sq-AL"/>
              </w:rPr>
              <w:t>1.1 A kanë aplikanti dhe partnerët përvojë të mjaftueshme në menaxhim projektesh?</w:t>
            </w:r>
          </w:p>
          <w:p w:rsidR="003307BE" w:rsidRDefault="00000000">
            <w:pPr>
              <w:pStyle w:val="Standard"/>
              <w:widowControl w:val="0"/>
              <w:rPr>
                <w:rFonts w:eastAsia="Arial"/>
                <w:color w:val="000000"/>
                <w:sz w:val="18"/>
                <w:szCs w:val="18"/>
                <w:lang w:val="sq-AL"/>
              </w:rPr>
            </w:pPr>
            <w:r>
              <w:rPr>
                <w:rFonts w:eastAsia="Arial"/>
                <w:color w:val="000000"/>
                <w:sz w:val="18"/>
                <w:szCs w:val="18"/>
                <w:lang w:val="sq-AL"/>
              </w:rPr>
              <w:t>Vlerësim maksimal marin organizatat që kanë të paktën 3 projekte të zbatuara apo në zbatim</w:t>
            </w:r>
          </w:p>
        </w:tc>
        <w:tc>
          <w:tcPr>
            <w:tcW w:w="990" w:type="dxa"/>
            <w:tcBorders>
              <w:top w:val="single" w:sz="4" w:space="0" w:color="000000"/>
              <w:left w:val="single" w:sz="4" w:space="0" w:color="000000"/>
              <w:bottom w:val="single" w:sz="4" w:space="0" w:color="000000"/>
            </w:tcBorders>
          </w:tcPr>
          <w:p w:rsidR="003307BE" w:rsidRDefault="00000000">
            <w:pPr>
              <w:pStyle w:val="Standard"/>
              <w:widowControl w:val="0"/>
              <w:ind w:left="100"/>
              <w:jc w:val="center"/>
              <w:rPr>
                <w:rFonts w:eastAsia="Arial"/>
                <w:color w:val="000000"/>
                <w:sz w:val="18"/>
                <w:szCs w:val="18"/>
                <w:lang w:val="sq-AL"/>
              </w:rPr>
            </w:pPr>
            <w:r>
              <w:rPr>
                <w:rFonts w:eastAsia="Arial"/>
                <w:color w:val="000000"/>
                <w:sz w:val="18"/>
                <w:szCs w:val="18"/>
                <w:lang w:val="sq-AL"/>
              </w:rPr>
              <w:t>5</w:t>
            </w:r>
          </w:p>
        </w:tc>
        <w:tc>
          <w:tcPr>
            <w:tcW w:w="900" w:type="dxa"/>
            <w:tcBorders>
              <w:top w:val="single" w:sz="4" w:space="0" w:color="000000"/>
              <w:left w:val="single" w:sz="4" w:space="0" w:color="000000"/>
              <w:bottom w:val="single" w:sz="4" w:space="0" w:color="000000"/>
              <w:right w:val="single" w:sz="4" w:space="0" w:color="000000"/>
            </w:tcBorders>
          </w:tcPr>
          <w:p w:rsidR="003307BE" w:rsidRDefault="003307BE">
            <w:pPr>
              <w:pStyle w:val="Standard"/>
              <w:widowControl w:val="0"/>
              <w:snapToGrid w:val="0"/>
              <w:ind w:left="100"/>
              <w:rPr>
                <w:rFonts w:eastAsia="Arial"/>
                <w:color w:val="000000"/>
                <w:sz w:val="18"/>
                <w:szCs w:val="18"/>
                <w:lang w:val="sq-AL"/>
              </w:rPr>
            </w:pPr>
          </w:p>
        </w:tc>
      </w:tr>
      <w:tr w:rsidR="003307BE">
        <w:trPr>
          <w:trHeight w:val="283"/>
        </w:trPr>
        <w:tc>
          <w:tcPr>
            <w:tcW w:w="7020" w:type="dxa"/>
            <w:tcBorders>
              <w:top w:val="single" w:sz="4" w:space="0" w:color="000000"/>
              <w:left w:val="single" w:sz="4" w:space="0" w:color="000000"/>
              <w:bottom w:val="single" w:sz="4" w:space="0" w:color="000000"/>
            </w:tcBorders>
            <w:vAlign w:val="bottom"/>
          </w:tcPr>
          <w:p w:rsidR="003307BE" w:rsidRDefault="00000000">
            <w:pPr>
              <w:pStyle w:val="Standard"/>
              <w:widowControl w:val="0"/>
              <w:rPr>
                <w:rFonts w:eastAsia="Arial"/>
                <w:color w:val="000000"/>
                <w:w w:val="99"/>
                <w:sz w:val="18"/>
                <w:szCs w:val="18"/>
                <w:lang w:val="sq-AL"/>
              </w:rPr>
            </w:pPr>
            <w:r>
              <w:rPr>
                <w:rFonts w:eastAsia="Arial"/>
                <w:color w:val="000000"/>
                <w:w w:val="99"/>
                <w:sz w:val="18"/>
                <w:szCs w:val="18"/>
                <w:lang w:val="sq-AL"/>
              </w:rPr>
              <w:t>1.2 A kanë aplikanti dhe partnerët kapacitete të mjaftueshme profesionale? (njohuri specifike në fushën relevante)</w:t>
            </w:r>
          </w:p>
          <w:p w:rsidR="003307BE" w:rsidRDefault="00000000">
            <w:pPr>
              <w:pStyle w:val="Standard"/>
              <w:widowControl w:val="0"/>
              <w:rPr>
                <w:rFonts w:eastAsia="Arial"/>
                <w:color w:val="000000"/>
                <w:w w:val="99"/>
                <w:sz w:val="18"/>
                <w:szCs w:val="18"/>
                <w:lang w:val="sq-AL"/>
              </w:rPr>
            </w:pPr>
            <w:r>
              <w:rPr>
                <w:rFonts w:eastAsia="Arial"/>
                <w:color w:val="000000"/>
                <w:w w:val="99"/>
                <w:sz w:val="18"/>
                <w:szCs w:val="18"/>
                <w:lang w:val="sq-AL"/>
              </w:rPr>
              <w:t>Vlerësim maksimal marin organizatat të cilat kanë zbatuar të paktën 3 projekte në fushën për të cilën aplikojnë.</w:t>
            </w:r>
          </w:p>
        </w:tc>
        <w:tc>
          <w:tcPr>
            <w:tcW w:w="990" w:type="dxa"/>
            <w:tcBorders>
              <w:top w:val="single" w:sz="4" w:space="0" w:color="000000"/>
              <w:left w:val="single" w:sz="4" w:space="0" w:color="000000"/>
            </w:tcBorders>
          </w:tcPr>
          <w:p w:rsidR="003307BE" w:rsidRDefault="00000000">
            <w:pPr>
              <w:pStyle w:val="Standard"/>
              <w:widowControl w:val="0"/>
              <w:jc w:val="center"/>
              <w:rPr>
                <w:rFonts w:eastAsia="Arial"/>
                <w:color w:val="000000"/>
                <w:w w:val="99"/>
                <w:sz w:val="18"/>
                <w:szCs w:val="18"/>
                <w:lang w:val="sq-AL"/>
              </w:rPr>
            </w:pPr>
            <w:r>
              <w:rPr>
                <w:rFonts w:eastAsia="Arial"/>
                <w:color w:val="000000"/>
                <w:w w:val="99"/>
                <w:sz w:val="18"/>
                <w:szCs w:val="18"/>
                <w:lang w:val="sq-AL"/>
              </w:rPr>
              <w:t>5</w:t>
            </w:r>
          </w:p>
        </w:tc>
        <w:tc>
          <w:tcPr>
            <w:tcW w:w="900" w:type="dxa"/>
            <w:tcBorders>
              <w:top w:val="single" w:sz="4" w:space="0" w:color="000000"/>
              <w:left w:val="single" w:sz="4" w:space="0" w:color="000000"/>
              <w:right w:val="single" w:sz="4" w:space="0" w:color="000000"/>
            </w:tcBorders>
          </w:tcPr>
          <w:p w:rsidR="003307BE" w:rsidRDefault="003307BE">
            <w:pPr>
              <w:pStyle w:val="Standard"/>
              <w:widowControl w:val="0"/>
              <w:snapToGrid w:val="0"/>
              <w:rPr>
                <w:rFonts w:eastAsia="Arial"/>
                <w:color w:val="000000"/>
                <w:w w:val="99"/>
                <w:sz w:val="18"/>
                <w:szCs w:val="18"/>
                <w:lang w:val="sq-AL"/>
              </w:rPr>
            </w:pPr>
          </w:p>
        </w:tc>
      </w:tr>
      <w:tr w:rsidR="003307BE">
        <w:trPr>
          <w:trHeight w:val="479"/>
        </w:trPr>
        <w:tc>
          <w:tcPr>
            <w:tcW w:w="7020" w:type="dxa"/>
            <w:tcBorders>
              <w:top w:val="single" w:sz="4" w:space="0" w:color="000000"/>
              <w:left w:val="single" w:sz="4" w:space="0" w:color="000000"/>
              <w:bottom w:val="single" w:sz="4" w:space="0" w:color="000000"/>
            </w:tcBorders>
            <w:vAlign w:val="bottom"/>
          </w:tcPr>
          <w:p w:rsidR="003307BE" w:rsidRDefault="00000000">
            <w:pPr>
              <w:pStyle w:val="Standard"/>
              <w:widowControl w:val="0"/>
              <w:rPr>
                <w:rFonts w:eastAsia="Arial"/>
                <w:color w:val="000000"/>
                <w:sz w:val="18"/>
                <w:szCs w:val="18"/>
                <w:lang w:val="sq-AL"/>
              </w:rPr>
            </w:pPr>
            <w:r>
              <w:rPr>
                <w:rFonts w:eastAsia="Arial"/>
                <w:color w:val="000000"/>
                <w:sz w:val="18"/>
                <w:szCs w:val="18"/>
                <w:lang w:val="sq-AL"/>
              </w:rPr>
              <w:t>1.3. A kanë aplikanti dhe partnerët kapacitete të mjaftueshme menaxhuese?</w:t>
            </w:r>
          </w:p>
          <w:p w:rsidR="003307BE" w:rsidRDefault="00000000">
            <w:pPr>
              <w:pStyle w:val="Standard"/>
              <w:widowControl w:val="0"/>
              <w:rPr>
                <w:rFonts w:eastAsia="Arial"/>
                <w:color w:val="000000"/>
                <w:sz w:val="18"/>
                <w:szCs w:val="18"/>
                <w:lang w:val="sq-AL"/>
              </w:rPr>
            </w:pPr>
            <w:r>
              <w:rPr>
                <w:rFonts w:eastAsia="Arial"/>
                <w:color w:val="000000"/>
                <w:sz w:val="18"/>
                <w:szCs w:val="18"/>
                <w:lang w:val="sq-AL"/>
              </w:rPr>
              <w:t>(përfshirë personelin, pajisjet dhe kapacitetet për menaxhim financiar)?</w:t>
            </w:r>
          </w:p>
          <w:p w:rsidR="003307BE" w:rsidRDefault="00000000">
            <w:pPr>
              <w:pStyle w:val="Standard"/>
              <w:widowControl w:val="0"/>
              <w:rPr>
                <w:rFonts w:eastAsia="Arial"/>
                <w:color w:val="000000"/>
                <w:sz w:val="18"/>
                <w:szCs w:val="18"/>
                <w:lang w:val="sq-AL"/>
              </w:rPr>
            </w:pPr>
            <w:r>
              <w:rPr>
                <w:rFonts w:eastAsia="Arial"/>
                <w:color w:val="000000"/>
                <w:sz w:val="18"/>
                <w:szCs w:val="18"/>
                <w:lang w:val="sq-AL"/>
              </w:rPr>
              <w:t>Vlerësim maksimal marin organizatat të cilat kanë zbatuar të paktën 3 projekte me shuma mbi 10.000 Euro.</w:t>
            </w:r>
          </w:p>
        </w:tc>
        <w:tc>
          <w:tcPr>
            <w:tcW w:w="990" w:type="dxa"/>
            <w:tcBorders>
              <w:top w:val="single" w:sz="4" w:space="0" w:color="000000"/>
              <w:left w:val="single" w:sz="4" w:space="0" w:color="000000"/>
            </w:tcBorders>
          </w:tcPr>
          <w:p w:rsidR="003307BE" w:rsidRDefault="00000000">
            <w:pPr>
              <w:pStyle w:val="Standard"/>
              <w:widowControl w:val="0"/>
              <w:ind w:left="100"/>
              <w:jc w:val="center"/>
              <w:rPr>
                <w:rFonts w:eastAsia="Arial"/>
                <w:color w:val="000000"/>
                <w:sz w:val="18"/>
                <w:szCs w:val="18"/>
                <w:lang w:val="sq-AL"/>
              </w:rPr>
            </w:pPr>
            <w:r>
              <w:rPr>
                <w:rFonts w:eastAsia="Arial"/>
                <w:color w:val="000000"/>
                <w:sz w:val="18"/>
                <w:szCs w:val="18"/>
                <w:lang w:val="sq-AL"/>
              </w:rPr>
              <w:t>5</w:t>
            </w:r>
          </w:p>
        </w:tc>
        <w:tc>
          <w:tcPr>
            <w:tcW w:w="900" w:type="dxa"/>
            <w:tcBorders>
              <w:top w:val="single" w:sz="4" w:space="0" w:color="000000"/>
              <w:left w:val="single" w:sz="4" w:space="0" w:color="000000"/>
              <w:right w:val="single" w:sz="4" w:space="0" w:color="000000"/>
            </w:tcBorders>
          </w:tcPr>
          <w:p w:rsidR="003307BE" w:rsidRDefault="003307BE">
            <w:pPr>
              <w:pStyle w:val="Standard"/>
              <w:widowControl w:val="0"/>
              <w:snapToGrid w:val="0"/>
              <w:ind w:left="100"/>
              <w:rPr>
                <w:rFonts w:eastAsia="Arial"/>
                <w:color w:val="000000"/>
                <w:sz w:val="18"/>
                <w:szCs w:val="18"/>
                <w:lang w:val="sq-AL"/>
              </w:rPr>
            </w:pPr>
          </w:p>
        </w:tc>
      </w:tr>
      <w:tr w:rsidR="003307BE">
        <w:trPr>
          <w:trHeight w:val="283"/>
        </w:trPr>
        <w:tc>
          <w:tcPr>
            <w:tcW w:w="7020" w:type="dxa"/>
            <w:tcBorders>
              <w:top w:val="single" w:sz="4" w:space="0" w:color="000000"/>
              <w:left w:val="single" w:sz="4" w:space="0" w:color="000000"/>
              <w:bottom w:val="single" w:sz="4" w:space="0" w:color="000000"/>
            </w:tcBorders>
            <w:shd w:val="clear" w:color="auto" w:fill="B3B2AF"/>
            <w:vAlign w:val="bottom"/>
          </w:tcPr>
          <w:p w:rsidR="003307BE" w:rsidRDefault="00000000">
            <w:pPr>
              <w:pStyle w:val="Standard"/>
              <w:widowControl w:val="0"/>
              <w:rPr>
                <w:rFonts w:eastAsia="Arial"/>
                <w:color w:val="000000"/>
                <w:sz w:val="18"/>
                <w:szCs w:val="18"/>
                <w:lang w:val="sq-AL"/>
              </w:rPr>
            </w:pPr>
            <w:r>
              <w:rPr>
                <w:rFonts w:eastAsia="Arial"/>
                <w:color w:val="000000"/>
                <w:sz w:val="18"/>
                <w:szCs w:val="18"/>
                <w:lang w:val="sq-AL"/>
              </w:rPr>
              <w:t>2. Relevanca</w:t>
            </w:r>
          </w:p>
        </w:tc>
        <w:tc>
          <w:tcPr>
            <w:tcW w:w="990" w:type="dxa"/>
            <w:tcBorders>
              <w:top w:val="single" w:sz="4" w:space="0" w:color="000000"/>
              <w:left w:val="single" w:sz="4" w:space="0" w:color="000000"/>
              <w:bottom w:val="single" w:sz="4" w:space="0" w:color="000000"/>
            </w:tcBorders>
            <w:shd w:val="clear" w:color="auto" w:fill="B3B2AF"/>
          </w:tcPr>
          <w:p w:rsidR="003307BE" w:rsidRDefault="00000000">
            <w:pPr>
              <w:pStyle w:val="Standard"/>
              <w:widowControl w:val="0"/>
              <w:ind w:left="100"/>
              <w:jc w:val="center"/>
              <w:rPr>
                <w:rFonts w:eastAsia="Arial"/>
                <w:color w:val="000000"/>
                <w:sz w:val="18"/>
                <w:szCs w:val="18"/>
                <w:lang w:val="sq-AL"/>
              </w:rPr>
            </w:pPr>
            <w:r>
              <w:rPr>
                <w:rFonts w:eastAsia="Arial"/>
                <w:color w:val="000000"/>
                <w:sz w:val="18"/>
                <w:szCs w:val="18"/>
                <w:lang w:val="sq-AL"/>
              </w:rPr>
              <w:t>25</w:t>
            </w:r>
          </w:p>
        </w:tc>
        <w:tc>
          <w:tcPr>
            <w:tcW w:w="900" w:type="dxa"/>
            <w:tcBorders>
              <w:top w:val="single" w:sz="4" w:space="0" w:color="000000"/>
              <w:left w:val="single" w:sz="4" w:space="0" w:color="000000"/>
              <w:bottom w:val="single" w:sz="4" w:space="0" w:color="000000"/>
              <w:right w:val="single" w:sz="4" w:space="0" w:color="000000"/>
            </w:tcBorders>
            <w:shd w:val="clear" w:color="auto" w:fill="B3B2AF"/>
          </w:tcPr>
          <w:p w:rsidR="003307BE" w:rsidRDefault="003307BE">
            <w:pPr>
              <w:pStyle w:val="Standard"/>
              <w:widowControl w:val="0"/>
              <w:snapToGrid w:val="0"/>
              <w:ind w:left="100"/>
              <w:rPr>
                <w:rFonts w:eastAsia="Arial"/>
                <w:color w:val="000000"/>
                <w:sz w:val="18"/>
                <w:szCs w:val="18"/>
                <w:lang w:val="sq-AL"/>
              </w:rPr>
            </w:pPr>
          </w:p>
        </w:tc>
      </w:tr>
      <w:tr w:rsidR="003307BE">
        <w:trPr>
          <w:trHeight w:val="703"/>
        </w:trPr>
        <w:tc>
          <w:tcPr>
            <w:tcW w:w="7020" w:type="dxa"/>
            <w:tcBorders>
              <w:top w:val="single" w:sz="4" w:space="0" w:color="000000"/>
              <w:left w:val="single" w:sz="4" w:space="0" w:color="000000"/>
              <w:bottom w:val="single" w:sz="4" w:space="0" w:color="000000"/>
            </w:tcBorders>
            <w:vAlign w:val="bottom"/>
          </w:tcPr>
          <w:p w:rsidR="003307BE" w:rsidRDefault="00000000">
            <w:pPr>
              <w:pStyle w:val="Standard"/>
              <w:widowControl w:val="0"/>
              <w:rPr>
                <w:rFonts w:eastAsia="Arial"/>
                <w:color w:val="000000"/>
                <w:w w:val="99"/>
                <w:sz w:val="18"/>
                <w:szCs w:val="18"/>
                <w:lang w:val="sq-AL"/>
              </w:rPr>
            </w:pPr>
            <w:r>
              <w:rPr>
                <w:rFonts w:eastAsia="Arial"/>
                <w:color w:val="000000"/>
                <w:w w:val="99"/>
                <w:sz w:val="18"/>
                <w:szCs w:val="18"/>
                <w:lang w:val="sq-AL"/>
              </w:rPr>
              <w:t>2.1. Sa relevant është projekti krahasuar me synimin dhe me një apo më shumë përparësi të përcaktuara në thirrjen publike?</w:t>
            </w:r>
          </w:p>
          <w:p w:rsidR="003307BE" w:rsidRDefault="00000000">
            <w:pPr>
              <w:pStyle w:val="Standard"/>
              <w:widowControl w:val="0"/>
              <w:rPr>
                <w:rFonts w:eastAsia="Arial"/>
                <w:color w:val="000000"/>
                <w:sz w:val="18"/>
                <w:szCs w:val="18"/>
                <w:lang w:val="sq-AL"/>
              </w:rPr>
            </w:pPr>
            <w:r>
              <w:rPr>
                <w:rFonts w:eastAsia="Arial"/>
                <w:color w:val="000000"/>
                <w:sz w:val="18"/>
                <w:szCs w:val="18"/>
                <w:lang w:val="sq-AL"/>
              </w:rPr>
              <w:t>Shënim: 5 pikë (shumë mirë) mund të jepen vetëm nëse projekti trajton të paktën njërën prej përparësive të bëra publike në thirrjen e shpallur</w:t>
            </w:r>
          </w:p>
        </w:tc>
        <w:tc>
          <w:tcPr>
            <w:tcW w:w="990" w:type="dxa"/>
            <w:tcBorders>
              <w:top w:val="single" w:sz="4" w:space="0" w:color="000000"/>
              <w:left w:val="single" w:sz="4" w:space="0" w:color="000000"/>
            </w:tcBorders>
          </w:tcPr>
          <w:p w:rsidR="003307BE" w:rsidRDefault="00000000">
            <w:pPr>
              <w:pStyle w:val="Standard"/>
              <w:widowControl w:val="0"/>
              <w:ind w:left="100"/>
              <w:jc w:val="center"/>
              <w:rPr>
                <w:rFonts w:eastAsia="Arial"/>
                <w:color w:val="000000"/>
                <w:w w:val="99"/>
                <w:sz w:val="18"/>
                <w:szCs w:val="18"/>
                <w:lang w:val="sq-AL"/>
              </w:rPr>
            </w:pPr>
            <w:r>
              <w:rPr>
                <w:rFonts w:eastAsia="Arial"/>
                <w:color w:val="000000"/>
                <w:w w:val="99"/>
                <w:sz w:val="18"/>
                <w:szCs w:val="18"/>
                <w:lang w:val="sq-AL"/>
              </w:rPr>
              <w:t>5</w:t>
            </w:r>
          </w:p>
        </w:tc>
        <w:tc>
          <w:tcPr>
            <w:tcW w:w="900" w:type="dxa"/>
            <w:tcBorders>
              <w:top w:val="single" w:sz="4" w:space="0" w:color="000000"/>
              <w:left w:val="single" w:sz="4" w:space="0" w:color="000000"/>
              <w:right w:val="single" w:sz="4" w:space="0" w:color="000000"/>
            </w:tcBorders>
          </w:tcPr>
          <w:p w:rsidR="003307BE" w:rsidRDefault="003307BE">
            <w:pPr>
              <w:pStyle w:val="Standard"/>
              <w:widowControl w:val="0"/>
              <w:snapToGrid w:val="0"/>
              <w:ind w:left="100"/>
              <w:rPr>
                <w:rFonts w:eastAsia="Arial"/>
                <w:color w:val="000000"/>
                <w:w w:val="99"/>
                <w:sz w:val="18"/>
                <w:szCs w:val="18"/>
                <w:lang w:val="sq-AL"/>
              </w:rPr>
            </w:pPr>
          </w:p>
        </w:tc>
      </w:tr>
      <w:tr w:rsidR="003307BE">
        <w:trPr>
          <w:trHeight w:val="148"/>
        </w:trPr>
        <w:tc>
          <w:tcPr>
            <w:tcW w:w="7020" w:type="dxa"/>
            <w:tcBorders>
              <w:top w:val="single" w:sz="4" w:space="0" w:color="000000"/>
              <w:left w:val="single" w:sz="4" w:space="0" w:color="000000"/>
              <w:bottom w:val="single" w:sz="4" w:space="0" w:color="000000"/>
            </w:tcBorders>
            <w:vAlign w:val="bottom"/>
          </w:tcPr>
          <w:p w:rsidR="003307BE" w:rsidRDefault="00000000">
            <w:pPr>
              <w:pStyle w:val="Standard"/>
              <w:widowControl w:val="0"/>
              <w:rPr>
                <w:rFonts w:eastAsia="Arial"/>
                <w:color w:val="000000"/>
                <w:w w:val="99"/>
                <w:sz w:val="18"/>
                <w:szCs w:val="18"/>
                <w:lang w:val="sq-AL"/>
              </w:rPr>
            </w:pPr>
            <w:r>
              <w:rPr>
                <w:rFonts w:eastAsia="Arial"/>
                <w:color w:val="000000"/>
                <w:w w:val="99"/>
                <w:sz w:val="18"/>
                <w:szCs w:val="18"/>
                <w:lang w:val="sq-AL"/>
              </w:rPr>
              <w:t>2.2 A janë palët e interesuara të përcaktuara qartë dhe të përzgjedhura në mënyrë strategjike (bashkëpunëtorët, përfituesit përfundimtarë, grupet e synuara)?</w:t>
            </w:r>
          </w:p>
        </w:tc>
        <w:tc>
          <w:tcPr>
            <w:tcW w:w="990" w:type="dxa"/>
            <w:tcBorders>
              <w:top w:val="single" w:sz="4" w:space="0" w:color="000000"/>
              <w:left w:val="single" w:sz="4" w:space="0" w:color="000000"/>
              <w:bottom w:val="single" w:sz="4" w:space="0" w:color="000000"/>
            </w:tcBorders>
          </w:tcPr>
          <w:p w:rsidR="003307BE" w:rsidRDefault="00000000">
            <w:pPr>
              <w:pStyle w:val="Standard"/>
              <w:widowControl w:val="0"/>
              <w:ind w:left="100"/>
              <w:jc w:val="center"/>
              <w:rPr>
                <w:rFonts w:eastAsia="Arial"/>
                <w:color w:val="000000"/>
                <w:w w:val="99"/>
                <w:sz w:val="18"/>
                <w:szCs w:val="18"/>
                <w:lang w:val="sq-AL"/>
              </w:rPr>
            </w:pPr>
            <w:r>
              <w:rPr>
                <w:rFonts w:eastAsia="Arial"/>
                <w:color w:val="000000"/>
                <w:w w:val="99"/>
                <w:sz w:val="18"/>
                <w:szCs w:val="18"/>
                <w:lang w:val="sq-AL"/>
              </w:rPr>
              <w:t>5</w:t>
            </w:r>
          </w:p>
        </w:tc>
        <w:tc>
          <w:tcPr>
            <w:tcW w:w="900" w:type="dxa"/>
            <w:tcBorders>
              <w:top w:val="single" w:sz="4" w:space="0" w:color="000000"/>
              <w:left w:val="single" w:sz="4" w:space="0" w:color="000000"/>
              <w:bottom w:val="single" w:sz="4" w:space="0" w:color="000000"/>
              <w:right w:val="single" w:sz="4" w:space="0" w:color="000000"/>
            </w:tcBorders>
          </w:tcPr>
          <w:p w:rsidR="003307BE" w:rsidRDefault="003307BE">
            <w:pPr>
              <w:pStyle w:val="Standard"/>
              <w:widowControl w:val="0"/>
              <w:snapToGrid w:val="0"/>
              <w:ind w:left="100"/>
              <w:rPr>
                <w:rFonts w:eastAsia="Arial"/>
                <w:color w:val="000000"/>
                <w:w w:val="99"/>
                <w:sz w:val="18"/>
                <w:szCs w:val="18"/>
                <w:lang w:val="sq-AL"/>
              </w:rPr>
            </w:pPr>
          </w:p>
        </w:tc>
      </w:tr>
      <w:tr w:rsidR="003307BE">
        <w:trPr>
          <w:trHeight w:val="437"/>
        </w:trPr>
        <w:tc>
          <w:tcPr>
            <w:tcW w:w="7020" w:type="dxa"/>
            <w:tcBorders>
              <w:top w:val="single" w:sz="4" w:space="0" w:color="000000"/>
              <w:left w:val="single" w:sz="4" w:space="0" w:color="000000"/>
              <w:bottom w:val="single" w:sz="4" w:space="0" w:color="000000"/>
            </w:tcBorders>
            <w:vAlign w:val="bottom"/>
          </w:tcPr>
          <w:p w:rsidR="003307BE" w:rsidRDefault="00000000">
            <w:pPr>
              <w:pStyle w:val="Standard"/>
              <w:widowControl w:val="0"/>
              <w:rPr>
                <w:rFonts w:eastAsia="Arial"/>
                <w:color w:val="000000"/>
                <w:w w:val="99"/>
                <w:sz w:val="18"/>
                <w:szCs w:val="18"/>
                <w:lang w:val="sq-AL"/>
              </w:rPr>
            </w:pPr>
            <w:r>
              <w:rPr>
                <w:rFonts w:eastAsia="Arial"/>
                <w:color w:val="000000"/>
                <w:w w:val="99"/>
                <w:sz w:val="18"/>
                <w:szCs w:val="18"/>
                <w:lang w:val="sq-AL"/>
              </w:rPr>
              <w:t>2.3 A janë nevojat e grupit të synuar dhe përfituesve përfundimtarë të përcaktuara qartë dhe a i trajton projekti ato në mënyrën e duhur?</w:t>
            </w:r>
          </w:p>
        </w:tc>
        <w:tc>
          <w:tcPr>
            <w:tcW w:w="990" w:type="dxa"/>
            <w:tcBorders>
              <w:top w:val="single" w:sz="4" w:space="0" w:color="000000"/>
              <w:left w:val="single" w:sz="4" w:space="0" w:color="000000"/>
            </w:tcBorders>
          </w:tcPr>
          <w:p w:rsidR="003307BE" w:rsidRDefault="00000000">
            <w:pPr>
              <w:pStyle w:val="Standard"/>
              <w:widowControl w:val="0"/>
              <w:ind w:left="100"/>
              <w:jc w:val="center"/>
              <w:rPr>
                <w:rFonts w:eastAsia="Arial"/>
                <w:color w:val="000000"/>
                <w:w w:val="99"/>
                <w:sz w:val="18"/>
                <w:szCs w:val="18"/>
                <w:lang w:val="sq-AL"/>
              </w:rPr>
            </w:pPr>
            <w:r>
              <w:rPr>
                <w:rFonts w:eastAsia="Arial"/>
                <w:color w:val="000000"/>
                <w:w w:val="99"/>
                <w:sz w:val="18"/>
                <w:szCs w:val="18"/>
                <w:lang w:val="sq-AL"/>
              </w:rPr>
              <w:t>5</w:t>
            </w:r>
          </w:p>
        </w:tc>
        <w:tc>
          <w:tcPr>
            <w:tcW w:w="900" w:type="dxa"/>
            <w:tcBorders>
              <w:top w:val="single" w:sz="4" w:space="0" w:color="000000"/>
              <w:left w:val="single" w:sz="4" w:space="0" w:color="000000"/>
              <w:right w:val="single" w:sz="4" w:space="0" w:color="000000"/>
            </w:tcBorders>
          </w:tcPr>
          <w:p w:rsidR="003307BE" w:rsidRDefault="003307BE">
            <w:pPr>
              <w:pStyle w:val="Standard"/>
              <w:widowControl w:val="0"/>
              <w:snapToGrid w:val="0"/>
              <w:ind w:left="100"/>
              <w:rPr>
                <w:rFonts w:eastAsia="Arial"/>
                <w:color w:val="000000"/>
                <w:w w:val="99"/>
                <w:sz w:val="18"/>
                <w:szCs w:val="18"/>
                <w:lang w:val="sq-AL"/>
              </w:rPr>
            </w:pPr>
          </w:p>
        </w:tc>
      </w:tr>
      <w:tr w:rsidR="003307BE">
        <w:trPr>
          <w:trHeight w:val="148"/>
        </w:trPr>
        <w:tc>
          <w:tcPr>
            <w:tcW w:w="7020" w:type="dxa"/>
            <w:tcBorders>
              <w:top w:val="single" w:sz="4" w:space="0" w:color="000000"/>
              <w:left w:val="single" w:sz="4" w:space="0" w:color="000000"/>
              <w:bottom w:val="single" w:sz="4" w:space="0" w:color="000000"/>
            </w:tcBorders>
            <w:vAlign w:val="bottom"/>
          </w:tcPr>
          <w:p w:rsidR="003307BE" w:rsidRDefault="00000000" w:rsidP="00050E29">
            <w:pPr>
              <w:pStyle w:val="Standard"/>
              <w:widowControl w:val="0"/>
              <w:numPr>
                <w:ilvl w:val="1"/>
                <w:numId w:val="50"/>
              </w:numPr>
              <w:rPr>
                <w:rFonts w:eastAsia="Arial"/>
                <w:color w:val="000000"/>
                <w:sz w:val="18"/>
                <w:szCs w:val="18"/>
                <w:lang w:val="sq-AL"/>
              </w:rPr>
            </w:pPr>
            <w:r>
              <w:rPr>
                <w:rFonts w:eastAsia="Arial"/>
                <w:color w:val="000000"/>
                <w:sz w:val="18"/>
                <w:szCs w:val="18"/>
                <w:lang w:val="sq-AL"/>
              </w:rPr>
              <w:t>A përfshin projekti vlerë të shtuar, si qasje inovative dhe modele të praktikës së mirë?</w:t>
            </w:r>
          </w:p>
          <w:p w:rsidR="003307BE" w:rsidRDefault="00000000">
            <w:pPr>
              <w:pStyle w:val="Standard"/>
              <w:widowControl w:val="0"/>
              <w:rPr>
                <w:rFonts w:eastAsia="Arial"/>
                <w:color w:val="000000"/>
                <w:sz w:val="18"/>
                <w:szCs w:val="18"/>
                <w:lang w:val="sq-AL"/>
              </w:rPr>
            </w:pPr>
            <w:r>
              <w:rPr>
                <w:rFonts w:eastAsia="Arial"/>
                <w:color w:val="000000"/>
                <w:sz w:val="18"/>
                <w:szCs w:val="18"/>
                <w:lang w:val="sq-AL"/>
              </w:rPr>
              <w:t>Vlerësim maksimal marin aplikimet të cilat sjellin risi në zbatimin e projekteve në bashkinë përkatëse.</w:t>
            </w:r>
          </w:p>
        </w:tc>
        <w:tc>
          <w:tcPr>
            <w:tcW w:w="990" w:type="dxa"/>
            <w:tcBorders>
              <w:top w:val="single" w:sz="4" w:space="0" w:color="000000"/>
              <w:left w:val="single" w:sz="4" w:space="0" w:color="000000"/>
              <w:bottom w:val="single" w:sz="4" w:space="0" w:color="000000"/>
            </w:tcBorders>
          </w:tcPr>
          <w:p w:rsidR="003307BE" w:rsidRDefault="00000000">
            <w:pPr>
              <w:pStyle w:val="Standard"/>
              <w:widowControl w:val="0"/>
              <w:ind w:left="100"/>
              <w:jc w:val="center"/>
              <w:rPr>
                <w:rFonts w:eastAsia="Arial"/>
                <w:color w:val="000000"/>
                <w:sz w:val="18"/>
                <w:szCs w:val="18"/>
                <w:lang w:val="sq-AL"/>
              </w:rPr>
            </w:pPr>
            <w:r>
              <w:rPr>
                <w:rFonts w:eastAsia="Arial"/>
                <w:color w:val="000000"/>
                <w:sz w:val="18"/>
                <w:szCs w:val="18"/>
                <w:lang w:val="sq-AL"/>
              </w:rPr>
              <w:t>5</w:t>
            </w:r>
          </w:p>
        </w:tc>
        <w:tc>
          <w:tcPr>
            <w:tcW w:w="900" w:type="dxa"/>
            <w:tcBorders>
              <w:top w:val="single" w:sz="4" w:space="0" w:color="000000"/>
              <w:left w:val="single" w:sz="4" w:space="0" w:color="000000"/>
              <w:bottom w:val="single" w:sz="4" w:space="0" w:color="000000"/>
              <w:right w:val="single" w:sz="4" w:space="0" w:color="000000"/>
            </w:tcBorders>
          </w:tcPr>
          <w:p w:rsidR="003307BE" w:rsidRDefault="003307BE">
            <w:pPr>
              <w:pStyle w:val="Standard"/>
              <w:widowControl w:val="0"/>
              <w:snapToGrid w:val="0"/>
              <w:ind w:left="100"/>
              <w:rPr>
                <w:rFonts w:eastAsia="Arial"/>
                <w:color w:val="000000"/>
                <w:sz w:val="18"/>
                <w:szCs w:val="18"/>
                <w:lang w:val="sq-AL"/>
              </w:rPr>
            </w:pPr>
          </w:p>
        </w:tc>
      </w:tr>
      <w:tr w:rsidR="003307BE">
        <w:trPr>
          <w:trHeight w:val="506"/>
        </w:trPr>
        <w:tc>
          <w:tcPr>
            <w:tcW w:w="7020" w:type="dxa"/>
            <w:tcBorders>
              <w:top w:val="single" w:sz="4" w:space="0" w:color="000000"/>
              <w:left w:val="single" w:sz="4" w:space="0" w:color="000000"/>
              <w:bottom w:val="single" w:sz="4" w:space="0" w:color="000000"/>
            </w:tcBorders>
            <w:vAlign w:val="bottom"/>
          </w:tcPr>
          <w:p w:rsidR="003307BE" w:rsidRDefault="00000000" w:rsidP="00050E29">
            <w:pPr>
              <w:pStyle w:val="Standard"/>
              <w:widowControl w:val="0"/>
              <w:numPr>
                <w:ilvl w:val="1"/>
                <w:numId w:val="51"/>
              </w:numPr>
              <w:rPr>
                <w:sz w:val="20"/>
                <w:szCs w:val="20"/>
                <w:lang w:val="sq-AL"/>
              </w:rPr>
            </w:pPr>
            <w:r>
              <w:rPr>
                <w:rFonts w:eastAsia="Arial"/>
                <w:color w:val="000000"/>
                <w:w w:val="98"/>
                <w:sz w:val="18"/>
                <w:szCs w:val="18"/>
                <w:lang w:val="sq-AL"/>
              </w:rPr>
              <w:t>A bën projekti avokim për një qasje të bazuar tek të drejtat dhe a ka ndikim pozitiv tek grupet e pafavorizuara?</w:t>
            </w:r>
            <w:r>
              <w:rPr>
                <w:rFonts w:eastAsia="Arial"/>
                <w:color w:val="000000"/>
                <w:sz w:val="18"/>
                <w:szCs w:val="18"/>
                <w:lang w:val="sq-AL"/>
              </w:rPr>
              <w:t xml:space="preserve"> (Promovimi i barazisë gjinore dhe i fuqizimit të grave, mbrojtja e mjedisit, bashkëpunimi ndërkombëtar, rinia, etj.)</w:t>
            </w:r>
          </w:p>
          <w:p w:rsidR="003307BE" w:rsidRDefault="00000000">
            <w:pPr>
              <w:pStyle w:val="Standard"/>
              <w:widowControl w:val="0"/>
              <w:rPr>
                <w:rFonts w:eastAsia="Arial"/>
                <w:color w:val="000000"/>
                <w:w w:val="98"/>
                <w:sz w:val="18"/>
                <w:szCs w:val="18"/>
                <w:lang w:val="sq-AL"/>
              </w:rPr>
            </w:pPr>
            <w:r>
              <w:rPr>
                <w:rFonts w:eastAsia="Arial"/>
                <w:color w:val="000000"/>
                <w:w w:val="98"/>
                <w:sz w:val="18"/>
                <w:szCs w:val="18"/>
                <w:lang w:val="sq-AL"/>
              </w:rPr>
              <w:t>Vlerësim maksimal marin aplikimet, të cilat ndikojnë në të paktën 2 grupe të margjinalizuara</w:t>
            </w:r>
          </w:p>
        </w:tc>
        <w:tc>
          <w:tcPr>
            <w:tcW w:w="990" w:type="dxa"/>
            <w:tcBorders>
              <w:top w:val="single" w:sz="4" w:space="0" w:color="000000"/>
              <w:left w:val="single" w:sz="4" w:space="0" w:color="000000"/>
            </w:tcBorders>
          </w:tcPr>
          <w:p w:rsidR="003307BE" w:rsidRDefault="00000000">
            <w:pPr>
              <w:pStyle w:val="Standard"/>
              <w:widowControl w:val="0"/>
              <w:ind w:left="100"/>
              <w:jc w:val="center"/>
              <w:rPr>
                <w:rFonts w:eastAsia="Arial"/>
                <w:color w:val="000000"/>
                <w:w w:val="98"/>
                <w:sz w:val="18"/>
                <w:szCs w:val="18"/>
                <w:lang w:val="sq-AL"/>
              </w:rPr>
            </w:pPr>
            <w:r>
              <w:rPr>
                <w:rFonts w:eastAsia="Arial"/>
                <w:color w:val="000000"/>
                <w:w w:val="98"/>
                <w:sz w:val="18"/>
                <w:szCs w:val="18"/>
                <w:lang w:val="sq-AL"/>
              </w:rPr>
              <w:t>5</w:t>
            </w:r>
          </w:p>
        </w:tc>
        <w:tc>
          <w:tcPr>
            <w:tcW w:w="900" w:type="dxa"/>
            <w:tcBorders>
              <w:top w:val="single" w:sz="4" w:space="0" w:color="000000"/>
              <w:left w:val="single" w:sz="4" w:space="0" w:color="000000"/>
              <w:right w:val="single" w:sz="4" w:space="0" w:color="000000"/>
            </w:tcBorders>
          </w:tcPr>
          <w:p w:rsidR="003307BE" w:rsidRDefault="003307BE">
            <w:pPr>
              <w:pStyle w:val="Standard"/>
              <w:widowControl w:val="0"/>
              <w:snapToGrid w:val="0"/>
              <w:ind w:left="100"/>
              <w:rPr>
                <w:rFonts w:eastAsia="Arial"/>
                <w:color w:val="000000"/>
                <w:w w:val="98"/>
                <w:sz w:val="18"/>
                <w:szCs w:val="18"/>
                <w:lang w:val="sq-AL"/>
              </w:rPr>
            </w:pPr>
          </w:p>
        </w:tc>
      </w:tr>
      <w:tr w:rsidR="003307BE">
        <w:trPr>
          <w:trHeight w:val="296"/>
        </w:trPr>
        <w:tc>
          <w:tcPr>
            <w:tcW w:w="7020" w:type="dxa"/>
            <w:tcBorders>
              <w:top w:val="single" w:sz="4" w:space="0" w:color="000000"/>
              <w:left w:val="single" w:sz="4" w:space="0" w:color="000000"/>
              <w:bottom w:val="single" w:sz="4" w:space="0" w:color="000000"/>
            </w:tcBorders>
            <w:shd w:val="clear" w:color="auto" w:fill="B3B2AF"/>
            <w:vAlign w:val="bottom"/>
          </w:tcPr>
          <w:p w:rsidR="003307BE" w:rsidRDefault="00000000">
            <w:pPr>
              <w:pStyle w:val="Standard"/>
              <w:widowControl w:val="0"/>
              <w:rPr>
                <w:rFonts w:eastAsia="Arial"/>
                <w:color w:val="000000"/>
                <w:sz w:val="18"/>
                <w:szCs w:val="18"/>
                <w:lang w:val="sq-AL"/>
              </w:rPr>
            </w:pPr>
            <w:r>
              <w:rPr>
                <w:rFonts w:eastAsia="Arial"/>
                <w:color w:val="000000"/>
                <w:sz w:val="18"/>
                <w:szCs w:val="18"/>
                <w:lang w:val="sq-AL"/>
              </w:rPr>
              <w:t>3. Metodologjia</w:t>
            </w:r>
          </w:p>
        </w:tc>
        <w:tc>
          <w:tcPr>
            <w:tcW w:w="990" w:type="dxa"/>
            <w:tcBorders>
              <w:top w:val="single" w:sz="4" w:space="0" w:color="000000"/>
              <w:left w:val="single" w:sz="4" w:space="0" w:color="000000"/>
              <w:bottom w:val="single" w:sz="4" w:space="0" w:color="000000"/>
            </w:tcBorders>
            <w:shd w:val="clear" w:color="auto" w:fill="B3B2AF"/>
          </w:tcPr>
          <w:p w:rsidR="003307BE" w:rsidRDefault="00000000">
            <w:pPr>
              <w:pStyle w:val="Standard"/>
              <w:widowControl w:val="0"/>
              <w:ind w:left="100"/>
              <w:jc w:val="center"/>
              <w:rPr>
                <w:rFonts w:eastAsia="Arial"/>
                <w:color w:val="000000"/>
                <w:sz w:val="18"/>
                <w:szCs w:val="18"/>
                <w:lang w:val="sq-AL"/>
              </w:rPr>
            </w:pPr>
            <w:r>
              <w:rPr>
                <w:rFonts w:eastAsia="Arial"/>
                <w:color w:val="000000"/>
                <w:sz w:val="18"/>
                <w:szCs w:val="18"/>
                <w:lang w:val="sq-AL"/>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B3B2AF"/>
          </w:tcPr>
          <w:p w:rsidR="003307BE" w:rsidRDefault="003307BE">
            <w:pPr>
              <w:pStyle w:val="Standard"/>
              <w:widowControl w:val="0"/>
              <w:snapToGrid w:val="0"/>
              <w:ind w:left="100"/>
              <w:rPr>
                <w:rFonts w:eastAsia="Arial"/>
                <w:color w:val="000000"/>
                <w:sz w:val="18"/>
                <w:szCs w:val="18"/>
                <w:lang w:val="sq-AL"/>
              </w:rPr>
            </w:pPr>
          </w:p>
        </w:tc>
      </w:tr>
      <w:tr w:rsidR="003307BE">
        <w:trPr>
          <w:trHeight w:val="132"/>
        </w:trPr>
        <w:tc>
          <w:tcPr>
            <w:tcW w:w="7020" w:type="dxa"/>
            <w:tcBorders>
              <w:top w:val="single" w:sz="4" w:space="0" w:color="000000"/>
              <w:left w:val="single" w:sz="4" w:space="0" w:color="000000"/>
              <w:bottom w:val="single" w:sz="4" w:space="0" w:color="000000"/>
            </w:tcBorders>
            <w:vAlign w:val="bottom"/>
          </w:tcPr>
          <w:p w:rsidR="003307BE" w:rsidRDefault="00000000">
            <w:pPr>
              <w:pStyle w:val="Standard"/>
              <w:widowControl w:val="0"/>
              <w:rPr>
                <w:sz w:val="20"/>
                <w:szCs w:val="20"/>
                <w:lang w:val="sq-AL"/>
              </w:rPr>
            </w:pPr>
            <w:r>
              <w:rPr>
                <w:rFonts w:eastAsia="Arial"/>
                <w:color w:val="000000"/>
                <w:w w:val="98"/>
                <w:sz w:val="18"/>
                <w:szCs w:val="18"/>
                <w:lang w:val="sq-AL"/>
              </w:rPr>
              <w:t>3.1 A përshtaten plani i aktiviteteve dhe aktivitetet e propozuara në mënyrë logjike dhe praktike me qëllimet dhe rezultatet e pritshme</w:t>
            </w:r>
            <w:r>
              <w:rPr>
                <w:rFonts w:eastAsia="Arial"/>
                <w:color w:val="000000"/>
                <w:sz w:val="18"/>
                <w:szCs w:val="18"/>
                <w:lang w:val="sq-AL"/>
              </w:rPr>
              <w:t>?</w:t>
            </w:r>
          </w:p>
        </w:tc>
        <w:tc>
          <w:tcPr>
            <w:tcW w:w="990" w:type="dxa"/>
            <w:tcBorders>
              <w:top w:val="single" w:sz="4" w:space="0" w:color="000000"/>
              <w:left w:val="single" w:sz="4" w:space="0" w:color="000000"/>
              <w:bottom w:val="single" w:sz="4" w:space="0" w:color="000000"/>
            </w:tcBorders>
          </w:tcPr>
          <w:p w:rsidR="003307BE" w:rsidRDefault="00000000">
            <w:pPr>
              <w:pStyle w:val="Standard"/>
              <w:widowControl w:val="0"/>
              <w:ind w:left="100"/>
              <w:jc w:val="center"/>
              <w:rPr>
                <w:rFonts w:eastAsia="Arial"/>
                <w:color w:val="000000"/>
                <w:w w:val="98"/>
                <w:sz w:val="18"/>
                <w:szCs w:val="18"/>
                <w:lang w:val="sq-AL"/>
              </w:rPr>
            </w:pPr>
            <w:r>
              <w:rPr>
                <w:rFonts w:eastAsia="Arial"/>
                <w:color w:val="000000"/>
                <w:w w:val="98"/>
                <w:sz w:val="18"/>
                <w:szCs w:val="18"/>
                <w:lang w:val="sq-AL"/>
              </w:rPr>
              <w:t>5</w:t>
            </w:r>
          </w:p>
        </w:tc>
        <w:tc>
          <w:tcPr>
            <w:tcW w:w="900" w:type="dxa"/>
            <w:tcBorders>
              <w:top w:val="single" w:sz="4" w:space="0" w:color="000000"/>
              <w:left w:val="single" w:sz="4" w:space="0" w:color="000000"/>
              <w:bottom w:val="single" w:sz="4" w:space="0" w:color="000000"/>
              <w:right w:val="single" w:sz="4" w:space="0" w:color="000000"/>
            </w:tcBorders>
          </w:tcPr>
          <w:p w:rsidR="003307BE" w:rsidRDefault="003307BE">
            <w:pPr>
              <w:pStyle w:val="Standard"/>
              <w:widowControl w:val="0"/>
              <w:snapToGrid w:val="0"/>
              <w:ind w:left="100"/>
              <w:rPr>
                <w:rFonts w:eastAsia="Arial"/>
                <w:color w:val="000000"/>
                <w:w w:val="98"/>
                <w:sz w:val="18"/>
                <w:szCs w:val="18"/>
                <w:lang w:val="sq-AL"/>
              </w:rPr>
            </w:pPr>
          </w:p>
        </w:tc>
      </w:tr>
      <w:tr w:rsidR="003307BE">
        <w:trPr>
          <w:trHeight w:val="148"/>
        </w:trPr>
        <w:tc>
          <w:tcPr>
            <w:tcW w:w="7020" w:type="dxa"/>
            <w:tcBorders>
              <w:top w:val="single" w:sz="4" w:space="0" w:color="000000"/>
              <w:left w:val="single" w:sz="4" w:space="0" w:color="000000"/>
              <w:bottom w:val="single" w:sz="4" w:space="0" w:color="000000"/>
            </w:tcBorders>
            <w:vAlign w:val="bottom"/>
          </w:tcPr>
          <w:p w:rsidR="003307BE" w:rsidRDefault="00000000">
            <w:pPr>
              <w:pStyle w:val="Standard"/>
              <w:widowControl w:val="0"/>
              <w:rPr>
                <w:rFonts w:eastAsia="Arial"/>
                <w:color w:val="000000"/>
                <w:w w:val="99"/>
                <w:sz w:val="18"/>
                <w:szCs w:val="18"/>
                <w:lang w:val="sq-AL"/>
              </w:rPr>
            </w:pPr>
            <w:r>
              <w:rPr>
                <w:rFonts w:eastAsia="Arial"/>
                <w:color w:val="000000"/>
                <w:w w:val="99"/>
                <w:sz w:val="18"/>
                <w:szCs w:val="18"/>
                <w:lang w:val="sq-AL"/>
              </w:rPr>
              <w:t>3.2 Sa konsistente është skema e përgjithshme e projektit? (veçanërisht, a e pasqyron analizën e problemeve të identifikuara, faktorët e mundshëm të jashtëm)</w:t>
            </w:r>
          </w:p>
          <w:p w:rsidR="003307BE" w:rsidRDefault="00000000">
            <w:pPr>
              <w:pStyle w:val="Standard"/>
              <w:widowControl w:val="0"/>
              <w:rPr>
                <w:rFonts w:eastAsia="Arial"/>
                <w:color w:val="000000"/>
                <w:w w:val="99"/>
                <w:sz w:val="18"/>
                <w:szCs w:val="18"/>
                <w:lang w:val="sq-AL"/>
              </w:rPr>
            </w:pPr>
            <w:r>
              <w:rPr>
                <w:rFonts w:eastAsia="Arial"/>
                <w:color w:val="000000"/>
                <w:w w:val="99"/>
                <w:sz w:val="18"/>
                <w:szCs w:val="18"/>
                <w:lang w:val="sq-AL"/>
              </w:rPr>
              <w:t>Vlerësim maksimal marin aplikimet, në të cilat janë marë në konsideratë faktorët e jashtëm (sipas logframe) dhe janë prezantuar masa për eliminimin e tyre.</w:t>
            </w:r>
          </w:p>
        </w:tc>
        <w:tc>
          <w:tcPr>
            <w:tcW w:w="990" w:type="dxa"/>
            <w:tcBorders>
              <w:top w:val="single" w:sz="4" w:space="0" w:color="000000"/>
              <w:left w:val="single" w:sz="4" w:space="0" w:color="000000"/>
              <w:bottom w:val="single" w:sz="4" w:space="0" w:color="000000"/>
            </w:tcBorders>
          </w:tcPr>
          <w:p w:rsidR="003307BE" w:rsidRDefault="00000000">
            <w:pPr>
              <w:pStyle w:val="Standard"/>
              <w:widowControl w:val="0"/>
              <w:ind w:left="100"/>
              <w:jc w:val="center"/>
              <w:rPr>
                <w:rFonts w:eastAsia="Arial"/>
                <w:color w:val="000000"/>
                <w:w w:val="99"/>
                <w:sz w:val="18"/>
                <w:szCs w:val="18"/>
                <w:lang w:val="sq-AL"/>
              </w:rPr>
            </w:pPr>
            <w:r>
              <w:rPr>
                <w:rFonts w:eastAsia="Arial"/>
                <w:color w:val="000000"/>
                <w:w w:val="99"/>
                <w:sz w:val="18"/>
                <w:szCs w:val="18"/>
                <w:lang w:val="sq-AL"/>
              </w:rPr>
              <w:t>5</w:t>
            </w:r>
          </w:p>
        </w:tc>
        <w:tc>
          <w:tcPr>
            <w:tcW w:w="900" w:type="dxa"/>
            <w:tcBorders>
              <w:top w:val="single" w:sz="4" w:space="0" w:color="000000"/>
              <w:left w:val="single" w:sz="4" w:space="0" w:color="000000"/>
              <w:bottom w:val="single" w:sz="4" w:space="0" w:color="000000"/>
              <w:right w:val="single" w:sz="4" w:space="0" w:color="000000"/>
            </w:tcBorders>
          </w:tcPr>
          <w:p w:rsidR="003307BE" w:rsidRDefault="003307BE">
            <w:pPr>
              <w:pStyle w:val="Standard"/>
              <w:widowControl w:val="0"/>
              <w:snapToGrid w:val="0"/>
              <w:ind w:left="100"/>
              <w:rPr>
                <w:rFonts w:eastAsia="Arial"/>
                <w:color w:val="000000"/>
                <w:w w:val="99"/>
                <w:sz w:val="18"/>
                <w:szCs w:val="18"/>
                <w:lang w:val="sq-AL"/>
              </w:rPr>
            </w:pPr>
          </w:p>
        </w:tc>
      </w:tr>
      <w:tr w:rsidR="003307BE">
        <w:trPr>
          <w:trHeight w:val="145"/>
        </w:trPr>
        <w:tc>
          <w:tcPr>
            <w:tcW w:w="7020" w:type="dxa"/>
            <w:tcBorders>
              <w:top w:val="single" w:sz="4" w:space="0" w:color="000000"/>
              <w:left w:val="single" w:sz="4" w:space="0" w:color="000000"/>
              <w:bottom w:val="single" w:sz="4" w:space="0" w:color="000000"/>
            </w:tcBorders>
            <w:vAlign w:val="bottom"/>
          </w:tcPr>
          <w:p w:rsidR="003307BE" w:rsidRDefault="00000000">
            <w:pPr>
              <w:pStyle w:val="Standard"/>
              <w:widowControl w:val="0"/>
              <w:rPr>
                <w:rFonts w:eastAsia="Arial"/>
                <w:color w:val="000000"/>
                <w:sz w:val="18"/>
                <w:szCs w:val="18"/>
                <w:lang w:val="sq-AL"/>
              </w:rPr>
            </w:pPr>
            <w:r>
              <w:rPr>
                <w:rFonts w:eastAsia="Arial"/>
                <w:color w:val="000000"/>
                <w:sz w:val="18"/>
                <w:szCs w:val="18"/>
                <w:lang w:val="sq-AL"/>
              </w:rPr>
              <w:t>3.3 A është i kënaqshëm niveli i përfshirjes së partnerëve në zbatimin e projektit? Shënim: nëse nuk ka asnjë partner pikët e përfituara do të jenë 1.</w:t>
            </w:r>
          </w:p>
          <w:p w:rsidR="003307BE" w:rsidRDefault="00000000">
            <w:pPr>
              <w:pStyle w:val="Standard"/>
              <w:widowControl w:val="0"/>
              <w:rPr>
                <w:rFonts w:eastAsia="Arial"/>
                <w:color w:val="000000"/>
                <w:sz w:val="18"/>
                <w:szCs w:val="18"/>
                <w:lang w:val="sq-AL"/>
              </w:rPr>
            </w:pPr>
            <w:r>
              <w:rPr>
                <w:rFonts w:eastAsia="Arial"/>
                <w:color w:val="000000"/>
                <w:sz w:val="18"/>
                <w:szCs w:val="18"/>
                <w:lang w:val="sq-AL"/>
              </w:rPr>
              <w:t>Këtu nuk përfshihen bashkëpunoëtorët.</w:t>
            </w:r>
          </w:p>
        </w:tc>
        <w:tc>
          <w:tcPr>
            <w:tcW w:w="990" w:type="dxa"/>
            <w:tcBorders>
              <w:top w:val="single" w:sz="4" w:space="0" w:color="000000"/>
              <w:left w:val="single" w:sz="4" w:space="0" w:color="000000"/>
              <w:bottom w:val="single" w:sz="4" w:space="0" w:color="000000"/>
            </w:tcBorders>
          </w:tcPr>
          <w:p w:rsidR="003307BE" w:rsidRDefault="00000000">
            <w:pPr>
              <w:pStyle w:val="Standard"/>
              <w:widowControl w:val="0"/>
              <w:ind w:left="100"/>
              <w:jc w:val="center"/>
              <w:rPr>
                <w:rFonts w:eastAsia="Arial"/>
                <w:color w:val="000000"/>
                <w:sz w:val="18"/>
                <w:szCs w:val="18"/>
                <w:lang w:val="sq-AL"/>
              </w:rPr>
            </w:pPr>
            <w:r>
              <w:rPr>
                <w:rFonts w:eastAsia="Arial"/>
                <w:color w:val="000000"/>
                <w:sz w:val="18"/>
                <w:szCs w:val="18"/>
                <w:lang w:val="sq-AL"/>
              </w:rPr>
              <w:t>5</w:t>
            </w:r>
          </w:p>
        </w:tc>
        <w:tc>
          <w:tcPr>
            <w:tcW w:w="900" w:type="dxa"/>
            <w:tcBorders>
              <w:top w:val="single" w:sz="4" w:space="0" w:color="000000"/>
              <w:left w:val="single" w:sz="4" w:space="0" w:color="000000"/>
              <w:bottom w:val="single" w:sz="4" w:space="0" w:color="000000"/>
              <w:right w:val="single" w:sz="4" w:space="0" w:color="000000"/>
            </w:tcBorders>
          </w:tcPr>
          <w:p w:rsidR="003307BE" w:rsidRDefault="003307BE">
            <w:pPr>
              <w:pStyle w:val="Standard"/>
              <w:widowControl w:val="0"/>
              <w:snapToGrid w:val="0"/>
              <w:ind w:left="100"/>
              <w:rPr>
                <w:rFonts w:eastAsia="Arial"/>
                <w:color w:val="000000"/>
                <w:sz w:val="18"/>
                <w:szCs w:val="18"/>
                <w:lang w:val="sq-AL"/>
              </w:rPr>
            </w:pPr>
          </w:p>
        </w:tc>
      </w:tr>
      <w:tr w:rsidR="003307BE">
        <w:trPr>
          <w:trHeight w:val="148"/>
        </w:trPr>
        <w:tc>
          <w:tcPr>
            <w:tcW w:w="7020" w:type="dxa"/>
            <w:tcBorders>
              <w:top w:val="single" w:sz="4" w:space="0" w:color="000000"/>
              <w:left w:val="single" w:sz="4" w:space="0" w:color="000000"/>
              <w:bottom w:val="single" w:sz="4" w:space="0" w:color="000000"/>
            </w:tcBorders>
            <w:vAlign w:val="bottom"/>
          </w:tcPr>
          <w:p w:rsidR="003307BE" w:rsidRDefault="00000000">
            <w:pPr>
              <w:pStyle w:val="Standard"/>
              <w:widowControl w:val="0"/>
              <w:rPr>
                <w:rFonts w:eastAsia="Arial"/>
                <w:color w:val="000000"/>
                <w:sz w:val="18"/>
                <w:szCs w:val="18"/>
                <w:lang w:val="sq-AL"/>
              </w:rPr>
            </w:pPr>
            <w:r>
              <w:rPr>
                <w:rFonts w:eastAsia="Arial"/>
                <w:color w:val="000000"/>
                <w:sz w:val="18"/>
                <w:szCs w:val="18"/>
                <w:lang w:val="sq-AL"/>
              </w:rPr>
              <w:t>3.4 A janë përfshirë në projekt tregues objektivisht të matshëm?</w:t>
            </w:r>
          </w:p>
          <w:p w:rsidR="003307BE" w:rsidRDefault="00000000">
            <w:pPr>
              <w:pStyle w:val="Standard"/>
              <w:widowControl w:val="0"/>
              <w:rPr>
                <w:rFonts w:eastAsia="Arial"/>
                <w:color w:val="000000"/>
                <w:sz w:val="18"/>
                <w:szCs w:val="18"/>
                <w:lang w:val="sq-AL"/>
              </w:rPr>
            </w:pPr>
            <w:r>
              <w:rPr>
                <w:rFonts w:eastAsia="Arial"/>
                <w:color w:val="000000"/>
                <w:sz w:val="18"/>
                <w:szCs w:val="18"/>
                <w:lang w:val="sq-AL"/>
              </w:rPr>
              <w:t>Vlerësim maksimal marin aplikimet, të cilat në logframe kanë indikatorë të qartë e të matshëm.</w:t>
            </w:r>
          </w:p>
        </w:tc>
        <w:tc>
          <w:tcPr>
            <w:tcW w:w="990" w:type="dxa"/>
            <w:tcBorders>
              <w:top w:val="single" w:sz="4" w:space="0" w:color="000000"/>
              <w:left w:val="single" w:sz="4" w:space="0" w:color="000000"/>
              <w:bottom w:val="single" w:sz="4" w:space="0" w:color="000000"/>
            </w:tcBorders>
          </w:tcPr>
          <w:p w:rsidR="003307BE" w:rsidRDefault="00000000">
            <w:pPr>
              <w:pStyle w:val="Standard"/>
              <w:widowControl w:val="0"/>
              <w:ind w:left="100"/>
              <w:jc w:val="center"/>
              <w:rPr>
                <w:rFonts w:eastAsia="Arial"/>
                <w:color w:val="000000"/>
                <w:sz w:val="18"/>
                <w:szCs w:val="18"/>
                <w:lang w:val="sq-AL"/>
              </w:rPr>
            </w:pPr>
            <w:r>
              <w:rPr>
                <w:rFonts w:eastAsia="Arial"/>
                <w:color w:val="000000"/>
                <w:sz w:val="18"/>
                <w:szCs w:val="18"/>
                <w:lang w:val="sq-AL"/>
              </w:rPr>
              <w:t>5</w:t>
            </w:r>
          </w:p>
        </w:tc>
        <w:tc>
          <w:tcPr>
            <w:tcW w:w="900" w:type="dxa"/>
            <w:tcBorders>
              <w:top w:val="single" w:sz="4" w:space="0" w:color="000000"/>
              <w:left w:val="single" w:sz="4" w:space="0" w:color="000000"/>
              <w:bottom w:val="single" w:sz="4" w:space="0" w:color="000000"/>
              <w:right w:val="single" w:sz="4" w:space="0" w:color="000000"/>
            </w:tcBorders>
          </w:tcPr>
          <w:p w:rsidR="003307BE" w:rsidRDefault="003307BE">
            <w:pPr>
              <w:pStyle w:val="Standard"/>
              <w:widowControl w:val="0"/>
              <w:snapToGrid w:val="0"/>
              <w:ind w:left="100"/>
              <w:rPr>
                <w:rFonts w:eastAsia="Arial"/>
                <w:color w:val="000000"/>
                <w:sz w:val="18"/>
                <w:szCs w:val="18"/>
                <w:lang w:val="sq-AL"/>
              </w:rPr>
            </w:pPr>
          </w:p>
        </w:tc>
      </w:tr>
      <w:tr w:rsidR="003307BE">
        <w:trPr>
          <w:trHeight w:val="311"/>
        </w:trPr>
        <w:tc>
          <w:tcPr>
            <w:tcW w:w="7020" w:type="dxa"/>
            <w:tcBorders>
              <w:top w:val="single" w:sz="4" w:space="0" w:color="000000"/>
              <w:left w:val="single" w:sz="4" w:space="0" w:color="000000"/>
              <w:bottom w:val="single" w:sz="4" w:space="0" w:color="000000"/>
            </w:tcBorders>
            <w:shd w:val="clear" w:color="auto" w:fill="B3B2AF"/>
            <w:vAlign w:val="bottom"/>
          </w:tcPr>
          <w:p w:rsidR="003307BE" w:rsidRDefault="00000000">
            <w:pPr>
              <w:pStyle w:val="Standard"/>
              <w:widowControl w:val="0"/>
              <w:rPr>
                <w:rFonts w:eastAsia="Arial"/>
                <w:color w:val="000000"/>
                <w:sz w:val="18"/>
                <w:szCs w:val="18"/>
                <w:lang w:val="sq-AL"/>
              </w:rPr>
            </w:pPr>
            <w:r>
              <w:rPr>
                <w:rFonts w:eastAsia="Arial"/>
                <w:color w:val="000000"/>
                <w:sz w:val="18"/>
                <w:szCs w:val="18"/>
                <w:lang w:val="sq-AL"/>
              </w:rPr>
              <w:t>4. Qëndrueshmëria</w:t>
            </w:r>
          </w:p>
        </w:tc>
        <w:tc>
          <w:tcPr>
            <w:tcW w:w="990" w:type="dxa"/>
            <w:tcBorders>
              <w:top w:val="single" w:sz="4" w:space="0" w:color="000000"/>
              <w:left w:val="single" w:sz="4" w:space="0" w:color="000000"/>
              <w:bottom w:val="single" w:sz="4" w:space="0" w:color="000000"/>
            </w:tcBorders>
            <w:shd w:val="clear" w:color="auto" w:fill="B3B2AF"/>
          </w:tcPr>
          <w:p w:rsidR="003307BE" w:rsidRDefault="00000000">
            <w:pPr>
              <w:pStyle w:val="Standard"/>
              <w:widowControl w:val="0"/>
              <w:ind w:left="100"/>
              <w:jc w:val="center"/>
              <w:rPr>
                <w:rFonts w:eastAsia="Arial"/>
                <w:color w:val="000000"/>
                <w:sz w:val="18"/>
                <w:szCs w:val="18"/>
                <w:lang w:val="sq-AL"/>
              </w:rPr>
            </w:pPr>
            <w:r>
              <w:rPr>
                <w:rFonts w:eastAsia="Arial"/>
                <w:color w:val="000000"/>
                <w:sz w:val="18"/>
                <w:szCs w:val="18"/>
                <w:lang w:val="sq-AL"/>
              </w:rPr>
              <w:t>25</w:t>
            </w:r>
          </w:p>
        </w:tc>
        <w:tc>
          <w:tcPr>
            <w:tcW w:w="900" w:type="dxa"/>
            <w:tcBorders>
              <w:top w:val="single" w:sz="4" w:space="0" w:color="000000"/>
              <w:left w:val="single" w:sz="4" w:space="0" w:color="000000"/>
              <w:bottom w:val="single" w:sz="4" w:space="0" w:color="000000"/>
              <w:right w:val="single" w:sz="4" w:space="0" w:color="000000"/>
            </w:tcBorders>
            <w:shd w:val="clear" w:color="auto" w:fill="B3B2AF"/>
          </w:tcPr>
          <w:p w:rsidR="003307BE" w:rsidRDefault="003307BE">
            <w:pPr>
              <w:pStyle w:val="Standard"/>
              <w:widowControl w:val="0"/>
              <w:snapToGrid w:val="0"/>
              <w:ind w:left="100"/>
              <w:rPr>
                <w:rFonts w:eastAsia="Arial"/>
                <w:color w:val="000000"/>
                <w:sz w:val="18"/>
                <w:szCs w:val="18"/>
                <w:lang w:val="sq-AL"/>
              </w:rPr>
            </w:pPr>
          </w:p>
        </w:tc>
      </w:tr>
      <w:tr w:rsidR="003307BE">
        <w:trPr>
          <w:trHeight w:val="312"/>
        </w:trPr>
        <w:tc>
          <w:tcPr>
            <w:tcW w:w="7020" w:type="dxa"/>
            <w:tcBorders>
              <w:top w:val="single" w:sz="4" w:space="0" w:color="000000"/>
              <w:left w:val="single" w:sz="4" w:space="0" w:color="000000"/>
              <w:bottom w:val="single" w:sz="4" w:space="0" w:color="000000"/>
            </w:tcBorders>
            <w:vAlign w:val="bottom"/>
          </w:tcPr>
          <w:p w:rsidR="003307BE" w:rsidRDefault="00000000">
            <w:pPr>
              <w:pStyle w:val="Standard"/>
              <w:widowControl w:val="0"/>
              <w:rPr>
                <w:rFonts w:eastAsia="Arial"/>
                <w:color w:val="000000"/>
                <w:sz w:val="18"/>
                <w:szCs w:val="18"/>
                <w:lang w:val="sq-AL"/>
              </w:rPr>
            </w:pPr>
            <w:r>
              <w:rPr>
                <w:rFonts w:eastAsia="Arial"/>
                <w:color w:val="000000"/>
                <w:sz w:val="18"/>
                <w:szCs w:val="18"/>
                <w:lang w:val="sq-AL"/>
              </w:rPr>
              <w:t>4.1 A do të kenë veprimtaritë e propozuara ndikim konkret tek grupet e synuara?</w:t>
            </w:r>
          </w:p>
          <w:p w:rsidR="003307BE" w:rsidRDefault="00000000">
            <w:pPr>
              <w:pStyle w:val="Standard"/>
              <w:widowControl w:val="0"/>
              <w:rPr>
                <w:rFonts w:eastAsia="Arial"/>
                <w:color w:val="000000"/>
                <w:sz w:val="18"/>
                <w:szCs w:val="18"/>
                <w:lang w:val="sq-AL"/>
              </w:rPr>
            </w:pPr>
            <w:r>
              <w:rPr>
                <w:rFonts w:eastAsia="Arial"/>
                <w:color w:val="000000"/>
                <w:sz w:val="18"/>
                <w:szCs w:val="18"/>
                <w:lang w:val="sq-AL"/>
              </w:rPr>
              <w:t>Vlerësim maksimal marin aplikimet të cilat lidhin aktivitetet e propozuara me grupet e synuara.</w:t>
            </w:r>
          </w:p>
        </w:tc>
        <w:tc>
          <w:tcPr>
            <w:tcW w:w="990" w:type="dxa"/>
            <w:tcBorders>
              <w:top w:val="single" w:sz="4" w:space="0" w:color="000000"/>
              <w:left w:val="single" w:sz="4" w:space="0" w:color="000000"/>
            </w:tcBorders>
          </w:tcPr>
          <w:p w:rsidR="003307BE" w:rsidRDefault="00000000">
            <w:pPr>
              <w:pStyle w:val="Standard"/>
              <w:widowControl w:val="0"/>
              <w:jc w:val="center"/>
              <w:rPr>
                <w:rFonts w:eastAsia="Arial"/>
                <w:color w:val="000000"/>
                <w:sz w:val="18"/>
                <w:szCs w:val="18"/>
                <w:lang w:val="sq-AL"/>
              </w:rPr>
            </w:pPr>
            <w:r>
              <w:rPr>
                <w:rFonts w:eastAsia="Arial"/>
                <w:color w:val="000000"/>
                <w:sz w:val="18"/>
                <w:szCs w:val="18"/>
                <w:lang w:val="sq-AL"/>
              </w:rPr>
              <w:t>5</w:t>
            </w:r>
          </w:p>
        </w:tc>
        <w:tc>
          <w:tcPr>
            <w:tcW w:w="900" w:type="dxa"/>
            <w:tcBorders>
              <w:top w:val="single" w:sz="4" w:space="0" w:color="000000"/>
              <w:left w:val="single" w:sz="4" w:space="0" w:color="000000"/>
              <w:right w:val="single" w:sz="4" w:space="0" w:color="000000"/>
            </w:tcBorders>
          </w:tcPr>
          <w:p w:rsidR="003307BE" w:rsidRDefault="003307BE">
            <w:pPr>
              <w:pStyle w:val="Standard"/>
              <w:widowControl w:val="0"/>
              <w:snapToGrid w:val="0"/>
              <w:rPr>
                <w:rFonts w:eastAsia="Arial"/>
                <w:color w:val="000000"/>
                <w:sz w:val="18"/>
                <w:szCs w:val="18"/>
                <w:lang w:val="sq-AL"/>
              </w:rPr>
            </w:pPr>
          </w:p>
        </w:tc>
      </w:tr>
      <w:tr w:rsidR="003307BE">
        <w:trPr>
          <w:trHeight w:val="703"/>
        </w:trPr>
        <w:tc>
          <w:tcPr>
            <w:tcW w:w="7020" w:type="dxa"/>
            <w:tcBorders>
              <w:top w:val="single" w:sz="4" w:space="0" w:color="000000"/>
              <w:left w:val="single" w:sz="4" w:space="0" w:color="000000"/>
              <w:bottom w:val="single" w:sz="4" w:space="0" w:color="000000"/>
            </w:tcBorders>
            <w:vAlign w:val="bottom"/>
          </w:tcPr>
          <w:p w:rsidR="003307BE" w:rsidRDefault="00000000">
            <w:pPr>
              <w:pStyle w:val="Standard"/>
              <w:widowControl w:val="0"/>
              <w:rPr>
                <w:rFonts w:eastAsia="Arial"/>
                <w:color w:val="000000"/>
                <w:w w:val="98"/>
                <w:sz w:val="18"/>
                <w:szCs w:val="18"/>
                <w:lang w:val="sq-AL"/>
              </w:rPr>
            </w:pPr>
            <w:r>
              <w:rPr>
                <w:rFonts w:eastAsia="Arial"/>
                <w:color w:val="000000"/>
                <w:w w:val="98"/>
                <w:sz w:val="18"/>
                <w:szCs w:val="18"/>
                <w:lang w:val="sq-AL"/>
              </w:rPr>
              <w:t>4.2 A do të ketë projekti ndikime të shumëfishta? (përfshirë mundësinë e zbatimit në grupe të tjera të synuara ose në vende të tjera dhe/ose shtrirjen e ndikimit të veprimtarive si dhe shkëmbimin e informacionit për përvojën e fituar gjatë zbatimit të projektit)</w:t>
            </w:r>
          </w:p>
        </w:tc>
        <w:tc>
          <w:tcPr>
            <w:tcW w:w="990" w:type="dxa"/>
            <w:tcBorders>
              <w:top w:val="single" w:sz="4" w:space="0" w:color="000000"/>
              <w:left w:val="single" w:sz="4" w:space="0" w:color="000000"/>
            </w:tcBorders>
          </w:tcPr>
          <w:p w:rsidR="003307BE" w:rsidRDefault="00000000">
            <w:pPr>
              <w:pStyle w:val="Standard"/>
              <w:widowControl w:val="0"/>
              <w:ind w:left="100"/>
              <w:jc w:val="center"/>
              <w:rPr>
                <w:rFonts w:eastAsia="Arial"/>
                <w:color w:val="000000"/>
                <w:w w:val="98"/>
                <w:sz w:val="18"/>
                <w:szCs w:val="18"/>
                <w:lang w:val="sq-AL"/>
              </w:rPr>
            </w:pPr>
            <w:r>
              <w:rPr>
                <w:rFonts w:eastAsia="Arial"/>
                <w:color w:val="000000"/>
                <w:w w:val="98"/>
                <w:sz w:val="18"/>
                <w:szCs w:val="18"/>
                <w:lang w:val="sq-AL"/>
              </w:rPr>
              <w:t>5</w:t>
            </w:r>
          </w:p>
        </w:tc>
        <w:tc>
          <w:tcPr>
            <w:tcW w:w="900" w:type="dxa"/>
            <w:tcBorders>
              <w:top w:val="single" w:sz="4" w:space="0" w:color="000000"/>
              <w:left w:val="single" w:sz="4" w:space="0" w:color="000000"/>
              <w:right w:val="single" w:sz="4" w:space="0" w:color="000000"/>
            </w:tcBorders>
          </w:tcPr>
          <w:p w:rsidR="003307BE" w:rsidRDefault="003307BE">
            <w:pPr>
              <w:pStyle w:val="Standard"/>
              <w:widowControl w:val="0"/>
              <w:snapToGrid w:val="0"/>
              <w:ind w:left="100"/>
              <w:rPr>
                <w:rFonts w:eastAsia="Arial"/>
                <w:color w:val="000000"/>
                <w:w w:val="98"/>
                <w:sz w:val="18"/>
                <w:szCs w:val="18"/>
                <w:lang w:val="sq-AL"/>
              </w:rPr>
            </w:pPr>
          </w:p>
        </w:tc>
      </w:tr>
      <w:tr w:rsidR="003307BE">
        <w:trPr>
          <w:trHeight w:val="717"/>
        </w:trPr>
        <w:tc>
          <w:tcPr>
            <w:tcW w:w="7020" w:type="dxa"/>
            <w:tcBorders>
              <w:top w:val="single" w:sz="4" w:space="0" w:color="000000"/>
              <w:left w:val="single" w:sz="4" w:space="0" w:color="000000"/>
              <w:bottom w:val="single" w:sz="4" w:space="0" w:color="000000"/>
            </w:tcBorders>
            <w:vAlign w:val="bottom"/>
          </w:tcPr>
          <w:p w:rsidR="003307BE" w:rsidRDefault="00000000">
            <w:pPr>
              <w:pStyle w:val="Standard"/>
              <w:widowControl w:val="0"/>
              <w:rPr>
                <w:rFonts w:eastAsia="Arial"/>
                <w:color w:val="000000"/>
                <w:w w:val="98"/>
                <w:sz w:val="18"/>
                <w:szCs w:val="18"/>
                <w:lang w:val="sq-AL"/>
              </w:rPr>
            </w:pPr>
            <w:r>
              <w:rPr>
                <w:rFonts w:eastAsia="Arial"/>
                <w:color w:val="000000"/>
                <w:w w:val="98"/>
                <w:sz w:val="18"/>
                <w:szCs w:val="18"/>
                <w:lang w:val="sq-AL"/>
              </w:rPr>
              <w:t>4.3 A janë rezultatet e pritshme të veprimtarive të sugjeruara të qëndrueshme nga ana institucionale? (a do të ekzistojnë strukturat që mundësuan veprimtaritë e projektit pas përfundimit të projektit? A do të ketë pronësi lokale mbi rezultatet e projektit?)</w:t>
            </w:r>
          </w:p>
        </w:tc>
        <w:tc>
          <w:tcPr>
            <w:tcW w:w="990" w:type="dxa"/>
            <w:tcBorders>
              <w:top w:val="single" w:sz="4" w:space="0" w:color="000000"/>
              <w:left w:val="single" w:sz="4" w:space="0" w:color="000000"/>
            </w:tcBorders>
          </w:tcPr>
          <w:p w:rsidR="003307BE" w:rsidRDefault="00000000">
            <w:pPr>
              <w:pStyle w:val="Standard"/>
              <w:widowControl w:val="0"/>
              <w:ind w:left="100"/>
              <w:jc w:val="center"/>
              <w:rPr>
                <w:rFonts w:eastAsia="Arial"/>
                <w:color w:val="000000"/>
                <w:w w:val="98"/>
                <w:sz w:val="18"/>
                <w:szCs w:val="18"/>
                <w:lang w:val="sq-AL"/>
              </w:rPr>
            </w:pPr>
            <w:r>
              <w:rPr>
                <w:rFonts w:eastAsia="Arial"/>
                <w:color w:val="000000"/>
                <w:w w:val="98"/>
                <w:sz w:val="18"/>
                <w:szCs w:val="18"/>
                <w:lang w:val="sq-AL"/>
              </w:rPr>
              <w:t>5</w:t>
            </w:r>
          </w:p>
        </w:tc>
        <w:tc>
          <w:tcPr>
            <w:tcW w:w="900" w:type="dxa"/>
            <w:tcBorders>
              <w:top w:val="single" w:sz="4" w:space="0" w:color="000000"/>
              <w:left w:val="single" w:sz="4" w:space="0" w:color="000000"/>
              <w:right w:val="single" w:sz="4" w:space="0" w:color="000000"/>
            </w:tcBorders>
          </w:tcPr>
          <w:p w:rsidR="003307BE" w:rsidRDefault="003307BE">
            <w:pPr>
              <w:pStyle w:val="Standard"/>
              <w:widowControl w:val="0"/>
              <w:snapToGrid w:val="0"/>
              <w:ind w:left="100"/>
              <w:rPr>
                <w:rFonts w:eastAsia="Arial"/>
                <w:color w:val="000000"/>
                <w:w w:val="98"/>
                <w:sz w:val="18"/>
                <w:szCs w:val="18"/>
                <w:lang w:val="sq-AL"/>
              </w:rPr>
            </w:pPr>
          </w:p>
        </w:tc>
      </w:tr>
      <w:tr w:rsidR="003307BE">
        <w:trPr>
          <w:trHeight w:val="521"/>
        </w:trPr>
        <w:tc>
          <w:tcPr>
            <w:tcW w:w="7020" w:type="dxa"/>
            <w:tcBorders>
              <w:top w:val="single" w:sz="4" w:space="0" w:color="000000"/>
              <w:left w:val="single" w:sz="4" w:space="0" w:color="000000"/>
              <w:bottom w:val="single" w:sz="4" w:space="0" w:color="000000"/>
            </w:tcBorders>
            <w:vAlign w:val="bottom"/>
          </w:tcPr>
          <w:p w:rsidR="003307BE" w:rsidRDefault="00000000">
            <w:pPr>
              <w:pStyle w:val="Standard"/>
              <w:widowControl w:val="0"/>
              <w:rPr>
                <w:rFonts w:eastAsia="Arial"/>
                <w:color w:val="000000"/>
                <w:w w:val="98"/>
                <w:sz w:val="18"/>
                <w:szCs w:val="18"/>
                <w:lang w:val="sq-AL"/>
              </w:rPr>
            </w:pPr>
            <w:r>
              <w:rPr>
                <w:rFonts w:eastAsia="Arial"/>
                <w:color w:val="000000"/>
                <w:w w:val="98"/>
                <w:sz w:val="18"/>
                <w:szCs w:val="18"/>
                <w:lang w:val="sq-AL"/>
              </w:rPr>
              <w:t>4.4 A janë rezultatet e pritshme të qëndrueshme? (aty ku është rasti, përmendni ndikimin strukturor të veprimtarive të zbatuara – përmirësime në kuadrin ligjor, metoda, kodin e sjelljes, etj.)</w:t>
            </w:r>
          </w:p>
        </w:tc>
        <w:tc>
          <w:tcPr>
            <w:tcW w:w="990" w:type="dxa"/>
            <w:tcBorders>
              <w:top w:val="single" w:sz="4" w:space="0" w:color="000000"/>
              <w:left w:val="single" w:sz="4" w:space="0" w:color="000000"/>
            </w:tcBorders>
          </w:tcPr>
          <w:p w:rsidR="003307BE" w:rsidRDefault="00000000">
            <w:pPr>
              <w:pStyle w:val="Standard"/>
              <w:widowControl w:val="0"/>
              <w:ind w:left="100"/>
              <w:jc w:val="center"/>
              <w:rPr>
                <w:rFonts w:eastAsia="Arial"/>
                <w:color w:val="000000"/>
                <w:w w:val="98"/>
                <w:sz w:val="18"/>
                <w:szCs w:val="18"/>
                <w:lang w:val="sq-AL"/>
              </w:rPr>
            </w:pPr>
            <w:r>
              <w:rPr>
                <w:rFonts w:eastAsia="Arial"/>
                <w:color w:val="000000"/>
                <w:w w:val="98"/>
                <w:sz w:val="18"/>
                <w:szCs w:val="18"/>
                <w:lang w:val="sq-AL"/>
              </w:rPr>
              <w:t>5</w:t>
            </w:r>
          </w:p>
        </w:tc>
        <w:tc>
          <w:tcPr>
            <w:tcW w:w="900" w:type="dxa"/>
            <w:tcBorders>
              <w:top w:val="single" w:sz="4" w:space="0" w:color="000000"/>
              <w:left w:val="single" w:sz="4" w:space="0" w:color="000000"/>
              <w:right w:val="single" w:sz="4" w:space="0" w:color="000000"/>
            </w:tcBorders>
          </w:tcPr>
          <w:p w:rsidR="003307BE" w:rsidRDefault="003307BE">
            <w:pPr>
              <w:pStyle w:val="Standard"/>
              <w:widowControl w:val="0"/>
              <w:snapToGrid w:val="0"/>
              <w:ind w:left="100"/>
              <w:rPr>
                <w:rFonts w:eastAsia="Arial"/>
                <w:color w:val="000000"/>
                <w:w w:val="98"/>
                <w:sz w:val="18"/>
                <w:szCs w:val="18"/>
                <w:lang w:val="sq-AL"/>
              </w:rPr>
            </w:pPr>
          </w:p>
        </w:tc>
      </w:tr>
      <w:tr w:rsidR="003307BE">
        <w:trPr>
          <w:trHeight w:val="466"/>
        </w:trPr>
        <w:tc>
          <w:tcPr>
            <w:tcW w:w="7020" w:type="dxa"/>
            <w:tcBorders>
              <w:top w:val="single" w:sz="4" w:space="0" w:color="000000"/>
              <w:left w:val="single" w:sz="4" w:space="0" w:color="000000"/>
              <w:bottom w:val="single" w:sz="4" w:space="0" w:color="000000"/>
            </w:tcBorders>
            <w:vAlign w:val="bottom"/>
          </w:tcPr>
          <w:p w:rsidR="003307BE" w:rsidRDefault="00000000">
            <w:pPr>
              <w:pStyle w:val="Standard"/>
              <w:widowControl w:val="0"/>
              <w:rPr>
                <w:rFonts w:eastAsia="Arial"/>
                <w:color w:val="000000"/>
                <w:sz w:val="18"/>
                <w:szCs w:val="18"/>
                <w:lang w:val="sq-AL"/>
              </w:rPr>
            </w:pPr>
            <w:r>
              <w:rPr>
                <w:rFonts w:eastAsia="Arial"/>
                <w:color w:val="000000"/>
                <w:sz w:val="18"/>
                <w:szCs w:val="18"/>
                <w:lang w:val="sq-AL"/>
              </w:rPr>
              <w:t>4.5 A ka mundësi që rezultatet/arritjet e pritshme afatgjata do të ndikojnë në kushtet ekonomike lokale dhe/ose cilësinë e jetës në zonën e synuar?</w:t>
            </w:r>
          </w:p>
        </w:tc>
        <w:tc>
          <w:tcPr>
            <w:tcW w:w="990" w:type="dxa"/>
            <w:tcBorders>
              <w:top w:val="single" w:sz="4" w:space="0" w:color="000000"/>
              <w:left w:val="single" w:sz="4" w:space="0" w:color="000000"/>
            </w:tcBorders>
          </w:tcPr>
          <w:p w:rsidR="003307BE" w:rsidRDefault="00000000">
            <w:pPr>
              <w:pStyle w:val="Standard"/>
              <w:widowControl w:val="0"/>
              <w:ind w:left="100"/>
              <w:jc w:val="center"/>
              <w:rPr>
                <w:rFonts w:eastAsia="Arial"/>
                <w:color w:val="000000"/>
                <w:sz w:val="18"/>
                <w:szCs w:val="18"/>
                <w:lang w:val="sq-AL"/>
              </w:rPr>
            </w:pPr>
            <w:r>
              <w:rPr>
                <w:rFonts w:eastAsia="Arial"/>
                <w:color w:val="000000"/>
                <w:sz w:val="18"/>
                <w:szCs w:val="18"/>
                <w:lang w:val="sq-AL"/>
              </w:rPr>
              <w:t>5</w:t>
            </w:r>
          </w:p>
        </w:tc>
        <w:tc>
          <w:tcPr>
            <w:tcW w:w="900" w:type="dxa"/>
            <w:tcBorders>
              <w:top w:val="single" w:sz="4" w:space="0" w:color="000000"/>
              <w:left w:val="single" w:sz="4" w:space="0" w:color="000000"/>
              <w:right w:val="single" w:sz="4" w:space="0" w:color="000000"/>
            </w:tcBorders>
          </w:tcPr>
          <w:p w:rsidR="003307BE" w:rsidRDefault="003307BE">
            <w:pPr>
              <w:pStyle w:val="Standard"/>
              <w:widowControl w:val="0"/>
              <w:snapToGrid w:val="0"/>
              <w:ind w:left="100"/>
              <w:rPr>
                <w:rFonts w:eastAsia="Arial"/>
                <w:color w:val="000000"/>
                <w:sz w:val="18"/>
                <w:szCs w:val="18"/>
                <w:lang w:val="sq-AL"/>
              </w:rPr>
            </w:pPr>
          </w:p>
        </w:tc>
      </w:tr>
      <w:tr w:rsidR="003307BE">
        <w:trPr>
          <w:trHeight w:val="152"/>
        </w:trPr>
        <w:tc>
          <w:tcPr>
            <w:tcW w:w="7020" w:type="dxa"/>
            <w:tcBorders>
              <w:top w:val="single" w:sz="4" w:space="0" w:color="000000"/>
              <w:left w:val="single" w:sz="4" w:space="0" w:color="000000"/>
              <w:bottom w:val="single" w:sz="4" w:space="0" w:color="000000"/>
            </w:tcBorders>
            <w:shd w:val="clear" w:color="auto" w:fill="B3B2AF"/>
            <w:vAlign w:val="bottom"/>
          </w:tcPr>
          <w:p w:rsidR="003307BE" w:rsidRDefault="00000000">
            <w:pPr>
              <w:pStyle w:val="Standard"/>
              <w:widowControl w:val="0"/>
              <w:rPr>
                <w:rFonts w:eastAsia="Arial"/>
                <w:color w:val="000000"/>
                <w:sz w:val="18"/>
                <w:szCs w:val="18"/>
                <w:lang w:val="sq-AL"/>
              </w:rPr>
            </w:pPr>
            <w:r>
              <w:rPr>
                <w:rFonts w:eastAsia="Arial"/>
                <w:color w:val="000000"/>
                <w:sz w:val="18"/>
                <w:szCs w:val="18"/>
                <w:lang w:val="sq-AL"/>
              </w:rPr>
              <w:t>5. Buxheti dhe efikasiteti i kostos</w:t>
            </w:r>
          </w:p>
        </w:tc>
        <w:tc>
          <w:tcPr>
            <w:tcW w:w="990" w:type="dxa"/>
            <w:tcBorders>
              <w:top w:val="single" w:sz="4" w:space="0" w:color="000000"/>
              <w:left w:val="single" w:sz="4" w:space="0" w:color="000000"/>
              <w:bottom w:val="single" w:sz="4" w:space="0" w:color="000000"/>
            </w:tcBorders>
            <w:shd w:val="clear" w:color="auto" w:fill="B3B2AF"/>
          </w:tcPr>
          <w:p w:rsidR="003307BE" w:rsidRDefault="00000000">
            <w:pPr>
              <w:pStyle w:val="Standard"/>
              <w:widowControl w:val="0"/>
              <w:ind w:left="100"/>
              <w:jc w:val="center"/>
              <w:rPr>
                <w:rFonts w:eastAsia="Arial"/>
                <w:color w:val="000000"/>
                <w:sz w:val="18"/>
                <w:szCs w:val="18"/>
                <w:lang w:val="sq-AL"/>
              </w:rPr>
            </w:pPr>
            <w:r>
              <w:rPr>
                <w:rFonts w:eastAsia="Arial"/>
                <w:color w:val="000000"/>
                <w:sz w:val="18"/>
                <w:szCs w:val="18"/>
                <w:lang w:val="sq-AL"/>
              </w:rPr>
              <w:t>15</w:t>
            </w:r>
          </w:p>
        </w:tc>
        <w:tc>
          <w:tcPr>
            <w:tcW w:w="900" w:type="dxa"/>
            <w:tcBorders>
              <w:top w:val="single" w:sz="4" w:space="0" w:color="000000"/>
              <w:left w:val="single" w:sz="4" w:space="0" w:color="000000"/>
              <w:bottom w:val="single" w:sz="4" w:space="0" w:color="000000"/>
              <w:right w:val="single" w:sz="4" w:space="0" w:color="000000"/>
            </w:tcBorders>
            <w:shd w:val="clear" w:color="auto" w:fill="B3B2AF"/>
          </w:tcPr>
          <w:p w:rsidR="003307BE" w:rsidRDefault="003307BE">
            <w:pPr>
              <w:pStyle w:val="Standard"/>
              <w:widowControl w:val="0"/>
              <w:snapToGrid w:val="0"/>
              <w:ind w:left="100"/>
              <w:rPr>
                <w:rFonts w:eastAsia="Arial"/>
                <w:color w:val="000000"/>
                <w:sz w:val="18"/>
                <w:szCs w:val="18"/>
                <w:lang w:val="sq-AL"/>
              </w:rPr>
            </w:pPr>
          </w:p>
        </w:tc>
      </w:tr>
      <w:tr w:rsidR="003307BE">
        <w:trPr>
          <w:trHeight w:val="148"/>
        </w:trPr>
        <w:tc>
          <w:tcPr>
            <w:tcW w:w="7020" w:type="dxa"/>
            <w:tcBorders>
              <w:top w:val="single" w:sz="4" w:space="0" w:color="000000"/>
              <w:left w:val="single" w:sz="4" w:space="0" w:color="000000"/>
              <w:bottom w:val="single" w:sz="4" w:space="0" w:color="000000"/>
            </w:tcBorders>
            <w:vAlign w:val="bottom"/>
          </w:tcPr>
          <w:p w:rsidR="003307BE" w:rsidRDefault="00000000">
            <w:pPr>
              <w:pStyle w:val="Standard"/>
              <w:widowControl w:val="0"/>
              <w:rPr>
                <w:rFonts w:eastAsia="Arial"/>
                <w:color w:val="000000"/>
                <w:sz w:val="18"/>
                <w:szCs w:val="18"/>
                <w:lang w:val="sq-AL"/>
              </w:rPr>
            </w:pPr>
            <w:r>
              <w:rPr>
                <w:rFonts w:eastAsia="Arial"/>
                <w:color w:val="000000"/>
                <w:sz w:val="18"/>
                <w:szCs w:val="18"/>
                <w:lang w:val="sq-AL"/>
              </w:rPr>
              <w:t>5.1 A është i kënaqshëm raporti ndërmjet shpenzimeve të parashikuara dhe rezultateve të pritshme?</w:t>
            </w:r>
          </w:p>
          <w:p w:rsidR="003307BE" w:rsidRDefault="00000000">
            <w:pPr>
              <w:pStyle w:val="Standard"/>
              <w:widowControl w:val="0"/>
              <w:rPr>
                <w:rFonts w:eastAsia="Arial"/>
                <w:color w:val="000000"/>
                <w:sz w:val="18"/>
                <w:szCs w:val="18"/>
                <w:lang w:val="sq-AL"/>
              </w:rPr>
            </w:pPr>
            <w:r>
              <w:rPr>
                <w:rFonts w:eastAsia="Arial"/>
                <w:color w:val="000000"/>
                <w:sz w:val="18"/>
                <w:szCs w:val="18"/>
                <w:lang w:val="sq-AL"/>
              </w:rPr>
              <w:t>Vlerësim maksimal marin aplikimet të cilat kanë respektuar ndarjen e % së aktiviteteve sipas udhëzuesit.</w:t>
            </w:r>
          </w:p>
        </w:tc>
        <w:tc>
          <w:tcPr>
            <w:tcW w:w="990" w:type="dxa"/>
            <w:tcBorders>
              <w:top w:val="single" w:sz="4" w:space="0" w:color="000000"/>
              <w:left w:val="single" w:sz="4" w:space="0" w:color="000000"/>
              <w:bottom w:val="single" w:sz="4" w:space="0" w:color="000000"/>
            </w:tcBorders>
          </w:tcPr>
          <w:p w:rsidR="003307BE" w:rsidRDefault="00000000">
            <w:pPr>
              <w:pStyle w:val="Standard"/>
              <w:widowControl w:val="0"/>
              <w:ind w:left="100"/>
              <w:jc w:val="center"/>
              <w:rPr>
                <w:rFonts w:eastAsia="Arial"/>
                <w:color w:val="000000"/>
                <w:sz w:val="18"/>
                <w:szCs w:val="18"/>
                <w:lang w:val="sq-AL"/>
              </w:rPr>
            </w:pPr>
            <w:r>
              <w:rPr>
                <w:rFonts w:eastAsia="Arial"/>
                <w:color w:val="000000"/>
                <w:sz w:val="18"/>
                <w:szCs w:val="18"/>
                <w:lang w:val="sq-AL"/>
              </w:rPr>
              <w:t>5</w:t>
            </w:r>
          </w:p>
        </w:tc>
        <w:tc>
          <w:tcPr>
            <w:tcW w:w="900" w:type="dxa"/>
            <w:tcBorders>
              <w:top w:val="single" w:sz="4" w:space="0" w:color="000000"/>
              <w:left w:val="single" w:sz="4" w:space="0" w:color="000000"/>
              <w:bottom w:val="single" w:sz="4" w:space="0" w:color="000000"/>
              <w:right w:val="single" w:sz="4" w:space="0" w:color="000000"/>
            </w:tcBorders>
          </w:tcPr>
          <w:p w:rsidR="003307BE" w:rsidRDefault="003307BE">
            <w:pPr>
              <w:pStyle w:val="Standard"/>
              <w:widowControl w:val="0"/>
              <w:snapToGrid w:val="0"/>
              <w:ind w:left="100"/>
              <w:rPr>
                <w:rFonts w:eastAsia="Arial"/>
                <w:color w:val="000000"/>
                <w:sz w:val="18"/>
                <w:szCs w:val="18"/>
                <w:lang w:val="sq-AL"/>
              </w:rPr>
            </w:pPr>
          </w:p>
        </w:tc>
      </w:tr>
      <w:tr w:rsidR="003307BE">
        <w:trPr>
          <w:trHeight w:val="172"/>
        </w:trPr>
        <w:tc>
          <w:tcPr>
            <w:tcW w:w="7020" w:type="dxa"/>
            <w:tcBorders>
              <w:top w:val="single" w:sz="4" w:space="0" w:color="000000"/>
              <w:left w:val="single" w:sz="4" w:space="0" w:color="000000"/>
              <w:bottom w:val="single" w:sz="4" w:space="0" w:color="000000"/>
            </w:tcBorders>
            <w:vAlign w:val="bottom"/>
          </w:tcPr>
          <w:p w:rsidR="003307BE" w:rsidRDefault="00000000">
            <w:pPr>
              <w:pStyle w:val="Standard"/>
              <w:widowControl w:val="0"/>
              <w:rPr>
                <w:rFonts w:eastAsia="Arial"/>
                <w:color w:val="000000"/>
                <w:sz w:val="18"/>
                <w:szCs w:val="18"/>
                <w:lang w:val="sq-AL"/>
              </w:rPr>
            </w:pPr>
            <w:r>
              <w:rPr>
                <w:rFonts w:eastAsia="Arial"/>
                <w:color w:val="000000"/>
                <w:sz w:val="18"/>
                <w:szCs w:val="18"/>
                <w:lang w:val="sq-AL"/>
              </w:rPr>
              <w:t>5.2 A është kostoja e sugjeruar e nevojshme për zbatimin e projektit?</w:t>
            </w:r>
          </w:p>
        </w:tc>
        <w:tc>
          <w:tcPr>
            <w:tcW w:w="990" w:type="dxa"/>
            <w:tcBorders>
              <w:top w:val="single" w:sz="4" w:space="0" w:color="000000"/>
              <w:left w:val="single" w:sz="4" w:space="0" w:color="000000"/>
              <w:bottom w:val="single" w:sz="4" w:space="0" w:color="000000"/>
            </w:tcBorders>
          </w:tcPr>
          <w:p w:rsidR="003307BE" w:rsidRDefault="00000000">
            <w:pPr>
              <w:pStyle w:val="Standard"/>
              <w:widowControl w:val="0"/>
              <w:ind w:left="100"/>
              <w:jc w:val="center"/>
              <w:rPr>
                <w:rFonts w:eastAsia="Arial"/>
                <w:color w:val="000000"/>
                <w:sz w:val="18"/>
                <w:szCs w:val="18"/>
                <w:lang w:val="sq-AL"/>
              </w:rPr>
            </w:pPr>
            <w:r>
              <w:rPr>
                <w:rFonts w:eastAsia="Arial"/>
                <w:color w:val="000000"/>
                <w:sz w:val="18"/>
                <w:szCs w:val="18"/>
                <w:lang w:val="sq-AL"/>
              </w:rPr>
              <w:t>5</w:t>
            </w:r>
          </w:p>
        </w:tc>
        <w:tc>
          <w:tcPr>
            <w:tcW w:w="900" w:type="dxa"/>
            <w:tcBorders>
              <w:top w:val="single" w:sz="4" w:space="0" w:color="000000"/>
              <w:left w:val="single" w:sz="4" w:space="0" w:color="000000"/>
              <w:bottom w:val="single" w:sz="4" w:space="0" w:color="000000"/>
              <w:right w:val="single" w:sz="4" w:space="0" w:color="000000"/>
            </w:tcBorders>
          </w:tcPr>
          <w:p w:rsidR="003307BE" w:rsidRDefault="003307BE">
            <w:pPr>
              <w:pStyle w:val="Standard"/>
              <w:widowControl w:val="0"/>
              <w:snapToGrid w:val="0"/>
              <w:ind w:left="100"/>
              <w:rPr>
                <w:rFonts w:eastAsia="Arial"/>
                <w:color w:val="000000"/>
                <w:sz w:val="18"/>
                <w:szCs w:val="18"/>
                <w:lang w:val="sq-AL"/>
              </w:rPr>
            </w:pPr>
          </w:p>
        </w:tc>
      </w:tr>
      <w:tr w:rsidR="003307BE">
        <w:trPr>
          <w:trHeight w:val="912"/>
        </w:trPr>
        <w:tc>
          <w:tcPr>
            <w:tcW w:w="7020" w:type="dxa"/>
            <w:tcBorders>
              <w:top w:val="single" w:sz="4" w:space="0" w:color="000000"/>
              <w:left w:val="single" w:sz="4" w:space="0" w:color="000000"/>
            </w:tcBorders>
            <w:vAlign w:val="bottom"/>
          </w:tcPr>
          <w:p w:rsidR="003307BE" w:rsidRDefault="00000000">
            <w:pPr>
              <w:pStyle w:val="Standard"/>
              <w:widowControl w:val="0"/>
              <w:rPr>
                <w:rFonts w:eastAsia="Arial"/>
                <w:color w:val="000000"/>
                <w:sz w:val="18"/>
                <w:szCs w:val="18"/>
                <w:lang w:val="sq-AL"/>
              </w:rPr>
            </w:pPr>
            <w:r>
              <w:rPr>
                <w:rFonts w:eastAsia="Arial"/>
                <w:color w:val="000000"/>
                <w:sz w:val="18"/>
                <w:szCs w:val="18"/>
                <w:lang w:val="sq-AL"/>
              </w:rPr>
              <w:t>5.3 Buxheti</w:t>
            </w:r>
          </w:p>
          <w:p w:rsidR="003307BE" w:rsidRDefault="00000000" w:rsidP="00050E29">
            <w:pPr>
              <w:pStyle w:val="ListParagraph"/>
              <w:widowControl w:val="0"/>
              <w:numPr>
                <w:ilvl w:val="0"/>
                <w:numId w:val="10"/>
              </w:numPr>
              <w:rPr>
                <w:rFonts w:eastAsia="Arial"/>
                <w:color w:val="000000"/>
                <w:sz w:val="18"/>
                <w:szCs w:val="18"/>
                <w:lang w:val="sq-AL" w:eastAsia="en-US"/>
              </w:rPr>
            </w:pPr>
            <w:r>
              <w:rPr>
                <w:rFonts w:eastAsia="Arial"/>
                <w:color w:val="000000"/>
                <w:sz w:val="18"/>
                <w:szCs w:val="18"/>
                <w:lang w:val="sq-AL" w:eastAsia="en-US"/>
              </w:rPr>
              <w:t>a është buxheti i qartë dhe a përfshin edhe pjesën përshkruese? (përfshirë shpjegimet për pajisjet teknike)</w:t>
            </w:r>
          </w:p>
          <w:p w:rsidR="003307BE" w:rsidRDefault="00000000" w:rsidP="00050E29">
            <w:pPr>
              <w:pStyle w:val="ListParagraph"/>
              <w:widowControl w:val="0"/>
              <w:numPr>
                <w:ilvl w:val="0"/>
                <w:numId w:val="52"/>
              </w:numPr>
              <w:rPr>
                <w:rFonts w:eastAsia="Arial"/>
                <w:color w:val="000000"/>
                <w:sz w:val="18"/>
                <w:szCs w:val="18"/>
                <w:lang w:val="sq-AL" w:eastAsia="en-US"/>
              </w:rPr>
            </w:pPr>
            <w:r>
              <w:rPr>
                <w:rFonts w:eastAsia="Arial"/>
                <w:color w:val="000000"/>
                <w:sz w:val="18"/>
                <w:szCs w:val="18"/>
                <w:lang w:val="sq-AL" w:eastAsia="en-US"/>
              </w:rPr>
              <w:t>a përmbushet parimi që kostoja administrative dhe e personelit nuk mund të jetë mbi 20 për qind e buxhetit total?</w:t>
            </w:r>
          </w:p>
          <w:p w:rsidR="003307BE" w:rsidRDefault="00000000" w:rsidP="00050E29">
            <w:pPr>
              <w:pStyle w:val="ListParagraph"/>
              <w:widowControl w:val="0"/>
              <w:numPr>
                <w:ilvl w:val="0"/>
                <w:numId w:val="53"/>
              </w:numPr>
              <w:rPr>
                <w:rFonts w:eastAsia="Arial"/>
                <w:color w:val="000000"/>
                <w:sz w:val="18"/>
                <w:szCs w:val="18"/>
                <w:lang w:val="sq-AL" w:eastAsia="en-US"/>
              </w:rPr>
            </w:pPr>
            <w:r>
              <w:rPr>
                <w:rFonts w:eastAsia="Arial"/>
                <w:color w:val="000000"/>
                <w:sz w:val="18"/>
                <w:szCs w:val="18"/>
                <w:lang w:val="sq-AL" w:eastAsia="en-US"/>
              </w:rPr>
              <w:t>a është buxheti me ndjeshmëri gjinore?</w:t>
            </w:r>
          </w:p>
          <w:p w:rsidR="003307BE" w:rsidRDefault="00000000" w:rsidP="00050E29">
            <w:pPr>
              <w:pStyle w:val="ListParagraph"/>
              <w:widowControl w:val="0"/>
              <w:numPr>
                <w:ilvl w:val="0"/>
                <w:numId w:val="54"/>
              </w:numPr>
              <w:rPr>
                <w:rFonts w:eastAsia="Arial"/>
                <w:color w:val="000000"/>
                <w:sz w:val="18"/>
                <w:szCs w:val="18"/>
                <w:lang w:val="sq-AL" w:eastAsia="en-US"/>
              </w:rPr>
            </w:pPr>
            <w:r>
              <w:rPr>
                <w:rFonts w:eastAsia="Arial"/>
                <w:color w:val="000000"/>
                <w:sz w:val="18"/>
                <w:szCs w:val="18"/>
                <w:lang w:val="sq-AL" w:eastAsia="en-US"/>
              </w:rPr>
              <w:t>a janë përfshirë CV-të dhe përshkrimet e punës, aty ku është e nevojshme?</w:t>
            </w:r>
          </w:p>
        </w:tc>
        <w:tc>
          <w:tcPr>
            <w:tcW w:w="990" w:type="dxa"/>
            <w:tcBorders>
              <w:top w:val="single" w:sz="4" w:space="0" w:color="000000"/>
              <w:left w:val="single" w:sz="4" w:space="0" w:color="000000"/>
            </w:tcBorders>
          </w:tcPr>
          <w:p w:rsidR="003307BE" w:rsidRDefault="00000000">
            <w:pPr>
              <w:pStyle w:val="Standard"/>
              <w:widowControl w:val="0"/>
              <w:ind w:left="100"/>
              <w:jc w:val="center"/>
              <w:rPr>
                <w:rFonts w:eastAsia="Arial"/>
                <w:color w:val="000000"/>
                <w:sz w:val="18"/>
                <w:szCs w:val="18"/>
                <w:lang w:val="sq-AL"/>
              </w:rPr>
            </w:pPr>
            <w:r>
              <w:rPr>
                <w:rFonts w:eastAsia="Arial"/>
                <w:color w:val="000000"/>
                <w:sz w:val="18"/>
                <w:szCs w:val="18"/>
                <w:lang w:val="sq-AL"/>
              </w:rPr>
              <w:t>5</w:t>
            </w:r>
          </w:p>
        </w:tc>
        <w:tc>
          <w:tcPr>
            <w:tcW w:w="900" w:type="dxa"/>
            <w:tcBorders>
              <w:top w:val="single" w:sz="4" w:space="0" w:color="000000"/>
              <w:left w:val="single" w:sz="4" w:space="0" w:color="000000"/>
              <w:right w:val="single" w:sz="4" w:space="0" w:color="000000"/>
            </w:tcBorders>
          </w:tcPr>
          <w:p w:rsidR="003307BE" w:rsidRDefault="003307BE">
            <w:pPr>
              <w:pStyle w:val="Standard"/>
              <w:widowControl w:val="0"/>
              <w:snapToGrid w:val="0"/>
              <w:ind w:left="100"/>
              <w:rPr>
                <w:rFonts w:eastAsia="Arial"/>
                <w:color w:val="000000"/>
                <w:sz w:val="18"/>
                <w:szCs w:val="18"/>
                <w:lang w:val="sq-AL"/>
              </w:rPr>
            </w:pPr>
          </w:p>
        </w:tc>
      </w:tr>
      <w:tr w:rsidR="003307BE">
        <w:trPr>
          <w:trHeight w:val="72"/>
        </w:trPr>
        <w:tc>
          <w:tcPr>
            <w:tcW w:w="7020" w:type="dxa"/>
            <w:tcBorders>
              <w:top w:val="single" w:sz="4" w:space="0" w:color="000000"/>
              <w:left w:val="single" w:sz="4" w:space="0" w:color="000000"/>
              <w:bottom w:val="single" w:sz="4" w:space="0" w:color="000000"/>
            </w:tcBorders>
            <w:shd w:val="clear" w:color="auto" w:fill="B3B2AF"/>
            <w:vAlign w:val="bottom"/>
          </w:tcPr>
          <w:p w:rsidR="003307BE" w:rsidRDefault="00000000">
            <w:pPr>
              <w:pStyle w:val="Standard"/>
              <w:widowControl w:val="0"/>
              <w:rPr>
                <w:rFonts w:eastAsia="Arial"/>
                <w:b/>
                <w:color w:val="000000"/>
                <w:sz w:val="18"/>
                <w:szCs w:val="18"/>
                <w:lang w:val="sq-AL"/>
              </w:rPr>
            </w:pPr>
            <w:r>
              <w:rPr>
                <w:rFonts w:eastAsia="Arial"/>
                <w:b/>
                <w:color w:val="000000"/>
                <w:sz w:val="18"/>
                <w:szCs w:val="18"/>
                <w:lang w:val="sq-AL"/>
              </w:rPr>
              <w:t>Pikët totale maksimale</w:t>
            </w:r>
          </w:p>
        </w:tc>
        <w:tc>
          <w:tcPr>
            <w:tcW w:w="990" w:type="dxa"/>
            <w:tcBorders>
              <w:top w:val="single" w:sz="4" w:space="0" w:color="000000"/>
              <w:left w:val="single" w:sz="4" w:space="0" w:color="000000"/>
              <w:bottom w:val="single" w:sz="4" w:space="0" w:color="000000"/>
            </w:tcBorders>
            <w:shd w:val="clear" w:color="auto" w:fill="B3B2AF"/>
          </w:tcPr>
          <w:p w:rsidR="003307BE" w:rsidRDefault="00000000">
            <w:pPr>
              <w:pStyle w:val="Standard"/>
              <w:widowControl w:val="0"/>
              <w:ind w:left="100"/>
              <w:jc w:val="center"/>
              <w:rPr>
                <w:rFonts w:eastAsia="Arial"/>
                <w:color w:val="000000"/>
                <w:sz w:val="18"/>
                <w:szCs w:val="18"/>
                <w:lang w:val="sq-AL"/>
              </w:rPr>
            </w:pPr>
            <w:r>
              <w:rPr>
                <w:rFonts w:eastAsia="Arial"/>
                <w:color w:val="000000"/>
                <w:sz w:val="18"/>
                <w:szCs w:val="18"/>
                <w:lang w:val="sq-AL"/>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B3B2AF"/>
          </w:tcPr>
          <w:p w:rsidR="003307BE" w:rsidRDefault="003307BE">
            <w:pPr>
              <w:pStyle w:val="Standard"/>
              <w:widowControl w:val="0"/>
              <w:snapToGrid w:val="0"/>
              <w:ind w:left="100"/>
              <w:rPr>
                <w:rFonts w:eastAsia="Arial"/>
                <w:color w:val="000000"/>
                <w:sz w:val="18"/>
                <w:szCs w:val="18"/>
                <w:lang w:val="sq-AL"/>
              </w:rPr>
            </w:pPr>
          </w:p>
        </w:tc>
      </w:tr>
    </w:tbl>
    <w:p w:rsidR="003307BE" w:rsidRDefault="003307BE">
      <w:pPr>
        <w:pStyle w:val="Standard"/>
        <w:spacing w:after="240"/>
        <w:jc w:val="both"/>
        <w:rPr>
          <w:b/>
          <w:bCs/>
          <w:u w:val="single"/>
          <w:lang w:val="sq-AL"/>
        </w:rPr>
      </w:pPr>
    </w:p>
    <w:p w:rsidR="003307BE" w:rsidRDefault="00000000">
      <w:pPr>
        <w:pStyle w:val="Standard"/>
        <w:spacing w:after="240"/>
        <w:jc w:val="both"/>
        <w:rPr>
          <w:b/>
          <w:bCs/>
          <w:i/>
          <w:lang w:val="sq-AL"/>
        </w:rPr>
      </w:pPr>
      <w:r>
        <w:rPr>
          <w:b/>
          <w:bCs/>
          <w:i/>
          <w:lang w:val="sq-AL"/>
        </w:rPr>
        <w:t>Njoftimi rreth vendimit</w:t>
      </w:r>
    </w:p>
    <w:p w:rsidR="003307BE" w:rsidRDefault="00000000">
      <w:pPr>
        <w:pStyle w:val="Text1"/>
        <w:ind w:left="0"/>
        <w:rPr>
          <w:sz w:val="20"/>
          <w:lang w:val="sq-AL"/>
        </w:rPr>
      </w:pPr>
      <w:r>
        <w:rPr>
          <w:color w:val="000000"/>
          <w:lang w:val="sq-AL"/>
        </w:rPr>
        <w:t>Në çdo rast, nëse projekt-propozimet e tyre miratohen për financim apo jo, të gjithë aplikantëve u njoftohet me shkrim vendimi për projekt-propozimin e tyre brenda 30 ditësh nga mbyllja e thirrjes publike. Rezultatet shpallen në faqen e internetit të Bashkisë Tiranë (</w:t>
      </w:r>
      <w:hyperlink r:id="rId10">
        <w:r>
          <w:rPr>
            <w:rStyle w:val="Hyperlink1"/>
            <w:lang w:val="sq-AL"/>
          </w:rPr>
          <w:t>www.tirana.al</w:t>
        </w:r>
      </w:hyperlink>
      <w:r>
        <w:rPr>
          <w:color w:val="000000"/>
          <w:lang w:val="sq-AL"/>
        </w:rPr>
        <w:t>) si dhe në tabelën e njoftimeve të bashkisë.</w:t>
      </w:r>
    </w:p>
    <w:p w:rsidR="003307BE" w:rsidRDefault="00000000">
      <w:pPr>
        <w:pStyle w:val="Standard"/>
        <w:jc w:val="both"/>
        <w:rPr>
          <w:b/>
          <w:bCs/>
          <w:i/>
          <w:lang w:val="sq-AL"/>
        </w:rPr>
      </w:pPr>
      <w:r>
        <w:rPr>
          <w:b/>
          <w:bCs/>
          <w:i/>
          <w:lang w:val="sq-AL"/>
        </w:rPr>
        <w:t>Kushtet rreth zbatimit të projektit pas miratimit të grantit</w:t>
      </w:r>
    </w:p>
    <w:p w:rsidR="003307BE" w:rsidRDefault="003307BE">
      <w:pPr>
        <w:pStyle w:val="Standard"/>
        <w:rPr>
          <w:b/>
          <w:bCs/>
          <w:i/>
          <w:u w:val="single"/>
          <w:lang w:val="sq-AL"/>
        </w:rPr>
      </w:pPr>
    </w:p>
    <w:p w:rsidR="003307BE" w:rsidRDefault="00000000">
      <w:pPr>
        <w:pStyle w:val="Standard"/>
        <w:jc w:val="both"/>
        <w:rPr>
          <w:color w:val="000000"/>
          <w:lang w:val="sq-AL"/>
        </w:rPr>
      </w:pPr>
      <w:r>
        <w:rPr>
          <w:color w:val="000000"/>
          <w:lang w:val="sq-AL"/>
        </w:rPr>
        <w:t>Pas marrjes së vendimit për miratimin e grantit, organizatës joqeveritare, projekti i së cilës është miratuar, i ofrohet një kontratë për zbatimin e projektit. Para se të nënshkruajë kontratën dhe nëse është e nevojshme, organizatës mund t’i kërkohen modifikime të caktuara në projekt për ta harmonizuar atë me rregullat dhe procedurat e zbatimit të projektit.</w:t>
      </w:r>
    </w:p>
    <w:p w:rsidR="003307BE" w:rsidRDefault="003307BE">
      <w:pPr>
        <w:pStyle w:val="Standard"/>
        <w:jc w:val="both"/>
        <w:rPr>
          <w:b/>
          <w:color w:val="000000"/>
          <w:lang w:val="sq-AL"/>
        </w:rPr>
      </w:pPr>
    </w:p>
    <w:p w:rsidR="003307BE" w:rsidRDefault="003307BE">
      <w:pPr>
        <w:pStyle w:val="Standard"/>
        <w:jc w:val="both"/>
        <w:rPr>
          <w:b/>
          <w:color w:val="000000"/>
          <w:lang w:val="sq-AL"/>
        </w:rPr>
      </w:pPr>
    </w:p>
    <w:p w:rsidR="003307BE" w:rsidRDefault="003307BE">
      <w:pPr>
        <w:pStyle w:val="Standard"/>
        <w:jc w:val="both"/>
        <w:rPr>
          <w:b/>
          <w:color w:val="000000"/>
          <w:lang w:val="sq-AL"/>
        </w:rPr>
      </w:pPr>
    </w:p>
    <w:p w:rsidR="003307BE" w:rsidRDefault="003307BE">
      <w:pPr>
        <w:pStyle w:val="Standard"/>
        <w:jc w:val="both"/>
        <w:rPr>
          <w:b/>
          <w:color w:val="000000"/>
          <w:lang w:val="sq-AL"/>
        </w:rPr>
      </w:pPr>
    </w:p>
    <w:p w:rsidR="003307BE" w:rsidRDefault="00000000">
      <w:pPr>
        <w:pStyle w:val="Standard"/>
        <w:jc w:val="both"/>
        <w:rPr>
          <w:b/>
          <w:lang w:val="sq-AL"/>
        </w:rPr>
      </w:pPr>
      <w:r>
        <w:rPr>
          <w:b/>
          <w:lang w:val="sq-AL"/>
        </w:rPr>
        <w:t>LISTA E SHTOJCAVE</w:t>
      </w:r>
    </w:p>
    <w:p w:rsidR="003307BE" w:rsidRDefault="003307BE">
      <w:pPr>
        <w:pStyle w:val="Standard"/>
        <w:rPr>
          <w:b/>
          <w:bCs/>
          <w:lang w:val="sq-AL"/>
        </w:rPr>
      </w:pPr>
    </w:p>
    <w:p w:rsidR="003307BE" w:rsidRDefault="00000000">
      <w:pPr>
        <w:pStyle w:val="Heading3"/>
        <w:spacing w:before="0" w:after="0"/>
        <w:ind w:left="360" w:firstLine="360"/>
        <w:rPr>
          <w:rFonts w:ascii="Times New Roman" w:hAnsi="Times New Roman"/>
        </w:rPr>
      </w:pPr>
      <w:r>
        <w:rPr>
          <w:rFonts w:ascii="Times New Roman" w:hAnsi="Times New Roman"/>
          <w:bCs w:val="0"/>
          <w:color w:val="005499"/>
          <w:sz w:val="24"/>
          <w:szCs w:val="24"/>
          <w:lang w:val="sq-AL"/>
        </w:rPr>
        <w:t>Shtojca 7</w:t>
      </w:r>
      <w:r>
        <w:rPr>
          <w:rFonts w:ascii="Times New Roman" w:hAnsi="Times New Roman"/>
          <w:b w:val="0"/>
          <w:bCs w:val="0"/>
          <w:sz w:val="24"/>
          <w:szCs w:val="24"/>
          <w:lang w:val="sq-AL"/>
        </w:rPr>
        <w:t xml:space="preserve"> Projekt Propozimi  </w:t>
      </w:r>
    </w:p>
    <w:p w:rsidR="003307BE" w:rsidRDefault="00000000">
      <w:pPr>
        <w:pStyle w:val="Standard"/>
        <w:tabs>
          <w:tab w:val="left" w:pos="1800"/>
        </w:tabs>
        <w:ind w:firstLine="720"/>
        <w:jc w:val="both"/>
        <w:rPr>
          <w:sz w:val="20"/>
          <w:szCs w:val="20"/>
          <w:lang w:val="sq-AL"/>
        </w:rPr>
      </w:pPr>
      <w:r>
        <w:rPr>
          <w:b/>
          <w:color w:val="005499"/>
          <w:lang w:val="sq-AL"/>
        </w:rPr>
        <w:t>Shtojca 8</w:t>
      </w:r>
      <w:r>
        <w:rPr>
          <w:b/>
          <w:lang w:val="sq-AL"/>
        </w:rPr>
        <w:tab/>
      </w:r>
      <w:r>
        <w:rPr>
          <w:bCs/>
          <w:lang w:val="sq-AL"/>
        </w:rPr>
        <w:t>Buxheti</w:t>
      </w:r>
    </w:p>
    <w:p w:rsidR="003307BE" w:rsidRDefault="00000000">
      <w:pPr>
        <w:pStyle w:val="Standard"/>
        <w:tabs>
          <w:tab w:val="left" w:pos="1800"/>
        </w:tabs>
        <w:ind w:firstLine="720"/>
        <w:jc w:val="both"/>
        <w:rPr>
          <w:sz w:val="20"/>
          <w:szCs w:val="20"/>
          <w:lang w:val="sq-AL"/>
        </w:rPr>
      </w:pPr>
      <w:r>
        <w:rPr>
          <w:b/>
          <w:color w:val="005499"/>
          <w:lang w:val="sq-AL"/>
        </w:rPr>
        <w:t>Shtojca 9</w:t>
      </w:r>
      <w:r>
        <w:rPr>
          <w:lang w:val="sq-AL"/>
        </w:rPr>
        <w:tab/>
        <w:t>Korniza Logjike</w:t>
      </w:r>
    </w:p>
    <w:p w:rsidR="003307BE" w:rsidRDefault="00000000">
      <w:pPr>
        <w:pStyle w:val="Standard"/>
        <w:tabs>
          <w:tab w:val="left" w:pos="1800"/>
        </w:tabs>
        <w:ind w:firstLine="720"/>
        <w:jc w:val="both"/>
        <w:rPr>
          <w:sz w:val="20"/>
          <w:szCs w:val="20"/>
          <w:lang w:val="sq-AL"/>
        </w:rPr>
      </w:pPr>
      <w:r>
        <w:rPr>
          <w:b/>
          <w:color w:val="005499"/>
          <w:lang w:val="sq-AL"/>
        </w:rPr>
        <w:t xml:space="preserve">Shtojca 10 </w:t>
      </w:r>
      <w:r>
        <w:rPr>
          <w:lang w:val="sq-AL"/>
        </w:rPr>
        <w:t>Plani i Aktiviteteve dhe dukshmërisë</w:t>
      </w:r>
    </w:p>
    <w:p w:rsidR="003307BE" w:rsidRDefault="00000000">
      <w:pPr>
        <w:pStyle w:val="Standard"/>
        <w:tabs>
          <w:tab w:val="left" w:pos="1800"/>
        </w:tabs>
        <w:ind w:firstLine="720"/>
        <w:jc w:val="both"/>
        <w:rPr>
          <w:sz w:val="20"/>
          <w:szCs w:val="20"/>
          <w:lang w:val="sq-AL"/>
        </w:rPr>
      </w:pPr>
      <w:r>
        <w:rPr>
          <w:b/>
          <w:color w:val="005499"/>
          <w:lang w:val="sq-AL"/>
        </w:rPr>
        <w:t xml:space="preserve">Shtojca 11 </w:t>
      </w:r>
      <w:r>
        <w:rPr>
          <w:lang w:val="sq-AL"/>
        </w:rPr>
        <w:t>Formulari i identifikimit administrativ dhe financiar</w:t>
      </w:r>
    </w:p>
    <w:p w:rsidR="003307BE" w:rsidRDefault="00000000">
      <w:pPr>
        <w:pStyle w:val="Standard"/>
        <w:tabs>
          <w:tab w:val="left" w:pos="1800"/>
        </w:tabs>
        <w:ind w:firstLine="720"/>
        <w:jc w:val="both"/>
        <w:rPr>
          <w:sz w:val="20"/>
          <w:szCs w:val="20"/>
          <w:lang w:val="sq-AL"/>
        </w:rPr>
      </w:pPr>
      <w:r>
        <w:rPr>
          <w:b/>
          <w:bCs/>
          <w:color w:val="005499"/>
          <w:lang w:val="sq-AL"/>
        </w:rPr>
        <w:t xml:space="preserve">Shtojca 12 </w:t>
      </w:r>
      <w:r>
        <w:rPr>
          <w:color w:val="000000"/>
          <w:lang w:val="sq-AL"/>
        </w:rPr>
        <w:t>Deklarata për plotësimin e kritereve</w:t>
      </w:r>
    </w:p>
    <w:p w:rsidR="003307BE" w:rsidRDefault="00000000">
      <w:pPr>
        <w:pStyle w:val="Standard"/>
        <w:tabs>
          <w:tab w:val="left" w:pos="1800"/>
        </w:tabs>
        <w:jc w:val="both"/>
        <w:rPr>
          <w:sz w:val="20"/>
          <w:szCs w:val="20"/>
          <w:lang w:val="sq-AL"/>
        </w:rPr>
      </w:pPr>
      <w:r>
        <w:rPr>
          <w:b/>
          <w:color w:val="000000"/>
          <w:lang w:val="sq-AL"/>
        </w:rPr>
        <w:t xml:space="preserve">            </w:t>
      </w:r>
      <w:r>
        <w:rPr>
          <w:b/>
          <w:color w:val="005499"/>
          <w:lang w:val="sq-AL"/>
        </w:rPr>
        <w:t>Shtojca 13</w:t>
      </w:r>
      <w:r>
        <w:rPr>
          <w:bCs/>
          <w:lang w:val="sq-AL"/>
        </w:rPr>
        <w:t xml:space="preserve"> Deklarata e partneritetit</w:t>
      </w:r>
    </w:p>
    <w:p w:rsidR="003307BE" w:rsidRDefault="00000000">
      <w:pPr>
        <w:pStyle w:val="Standard"/>
        <w:tabs>
          <w:tab w:val="left" w:pos="1800"/>
        </w:tabs>
        <w:ind w:firstLine="720"/>
        <w:jc w:val="both"/>
        <w:rPr>
          <w:sz w:val="20"/>
          <w:szCs w:val="20"/>
          <w:lang w:val="sq-AL"/>
        </w:rPr>
      </w:pPr>
      <w:r>
        <w:rPr>
          <w:b/>
          <w:color w:val="005499"/>
          <w:lang w:val="sq-AL"/>
        </w:rPr>
        <w:t>Shtojca 14</w:t>
      </w:r>
      <w:r>
        <w:rPr>
          <w:bCs/>
          <w:lang w:val="sq-AL"/>
        </w:rPr>
        <w:t xml:space="preserve"> Deklarata për shmangien e konfliktit të interesit</w:t>
      </w:r>
    </w:p>
    <w:p w:rsidR="003307BE" w:rsidRDefault="003307BE">
      <w:pPr>
        <w:pStyle w:val="Standard"/>
        <w:tabs>
          <w:tab w:val="left" w:pos="1800"/>
        </w:tabs>
        <w:ind w:firstLine="720"/>
        <w:jc w:val="both"/>
        <w:rPr>
          <w:lang w:val="sq-AL"/>
        </w:rPr>
      </w:pPr>
    </w:p>
    <w:sectPr w:rsidR="003307BE">
      <w:headerReference w:type="even" r:id="rId11"/>
      <w:headerReference w:type="default" r:id="rId12"/>
      <w:footerReference w:type="even" r:id="rId13"/>
      <w:footerReference w:type="default" r:id="rId14"/>
      <w:pgSz w:w="11906" w:h="16838"/>
      <w:pgMar w:top="2274" w:right="1699" w:bottom="2160" w:left="1699" w:header="1123" w:footer="1123"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74DA" w:rsidRDefault="003474DA">
      <w:pPr>
        <w:rPr>
          <w:rFonts w:hint="eastAsia"/>
        </w:rPr>
      </w:pPr>
      <w:r>
        <w:separator/>
      </w:r>
    </w:p>
  </w:endnote>
  <w:endnote w:type="continuationSeparator" w:id="0">
    <w:p w:rsidR="003474DA" w:rsidRDefault="003474D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decorative"/>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07BE" w:rsidRDefault="00000000">
    <w:pPr>
      <w:pStyle w:val="Footer"/>
      <w:jc w:val="center"/>
    </w:pPr>
    <w:r>
      <w:fldChar w:fldCharType="begin"/>
    </w:r>
    <w:r>
      <w:instrText>PAGE</w:instrText>
    </w:r>
    <w:r>
      <w:fldChar w:fldCharType="separate"/>
    </w:r>
    <w:r>
      <w:t>10</w:t>
    </w:r>
    <w:r>
      <w:fldChar w:fldCharType="end"/>
    </w:r>
  </w:p>
  <w:p w:rsidR="003307BE" w:rsidRDefault="00000000">
    <w:pPr>
      <w:pStyle w:val="Footer"/>
      <w:jc w:val="center"/>
      <w:rPr>
        <w:sz w:val="20"/>
        <w:szCs w:val="20"/>
        <w:lang w:val="sq-AL"/>
      </w:rPr>
    </w:pPr>
    <w:r>
      <w:rPr>
        <w:sz w:val="20"/>
        <w:szCs w:val="20"/>
        <w:lang w:val="sq-AL"/>
      </w:rPr>
      <w:t>Programi ReLOaD financohet nga Bashkimi Evropian (BE) dhe zbatohet nga Programi i Kombeve të Bashkuara për Zhvillim (UNDP).</w:t>
    </w:r>
  </w:p>
  <w:p w:rsidR="003307BE" w:rsidRDefault="003307BE">
    <w:pPr>
      <w:pStyle w:val="Footer"/>
      <w:rPr>
        <w:sz w:val="20"/>
        <w:szCs w:val="20"/>
        <w:lang w:val="sq-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07BE" w:rsidRDefault="00000000">
    <w:pPr>
      <w:pStyle w:val="Footer"/>
      <w:tabs>
        <w:tab w:val="left" w:pos="3861"/>
        <w:tab w:val="center" w:pos="4876"/>
      </w:tabs>
    </w:pPr>
    <w:r>
      <w:tab/>
    </w:r>
    <w:r>
      <w:tab/>
    </w:r>
    <w:r>
      <w:tab/>
    </w:r>
    <w:r>
      <w:fldChar w:fldCharType="begin"/>
    </w:r>
    <w:r>
      <w:instrText>PAGE</w:instrText>
    </w:r>
    <w:r>
      <w:fldChar w:fldCharType="separate"/>
    </w:r>
    <w:r>
      <w:t>9</w:t>
    </w:r>
    <w:r>
      <w:fldChar w:fldCharType="end"/>
    </w:r>
  </w:p>
  <w:p w:rsidR="003307BE" w:rsidRDefault="003307BE">
    <w:pPr>
      <w:pStyle w:val="Footer"/>
      <w:jc w:val="center"/>
      <w:rPr>
        <w:sz w:val="20"/>
        <w:szCs w:val="20"/>
        <w:lang w:val="sq-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74DA" w:rsidRDefault="003474DA">
      <w:pPr>
        <w:rPr>
          <w:rFonts w:hint="eastAsia"/>
          <w:sz w:val="12"/>
        </w:rPr>
      </w:pPr>
      <w:r>
        <w:separator/>
      </w:r>
    </w:p>
  </w:footnote>
  <w:footnote w:type="continuationSeparator" w:id="0">
    <w:p w:rsidR="003474DA" w:rsidRDefault="003474DA">
      <w:pPr>
        <w:rPr>
          <w:rFonts w:hint="eastAsia"/>
          <w:sz w:val="12"/>
        </w:rPr>
      </w:pPr>
      <w:r>
        <w:continuationSeparator/>
      </w:r>
    </w:p>
  </w:footnote>
  <w:footnote w:id="1">
    <w:p w:rsidR="003307BE" w:rsidRDefault="00000000">
      <w:pPr>
        <w:pStyle w:val="FootnoteText1"/>
      </w:pPr>
      <w:r>
        <w:rPr>
          <w:rStyle w:val="FootnoteCharacters"/>
        </w:rPr>
        <w:footnoteRef/>
      </w:r>
      <w:r>
        <w:rPr>
          <w:lang w:val="it-IT"/>
        </w:rPr>
        <w:t xml:space="preserve"> Neni 31 i Ligjit nr. 9</w:t>
      </w:r>
      <w:r>
        <w:rPr>
          <w:bCs/>
          <w:lang w:val="sq-AL"/>
        </w:rPr>
        <w:t>367, datë 7.4.2005, i ndryshuar “Për parandalimin e konfliktit të interesave në ushtrimin e funksioneve publike”.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07BE" w:rsidRDefault="00330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07BE" w:rsidRDefault="00330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563B"/>
    <w:multiLevelType w:val="multilevel"/>
    <w:tmpl w:val="FFFFFFFF"/>
    <w:lvl w:ilvl="0">
      <w:start w:val="1"/>
      <w:numFmt w:val="upperRoman"/>
      <w:lvlText w:val="%1."/>
      <w:lvlJc w:val="left"/>
      <w:pPr>
        <w:tabs>
          <w:tab w:val="num" w:pos="0"/>
        </w:tabs>
        <w:ind w:left="1080" w:hanging="720"/>
      </w:pPr>
      <w:rPr>
        <w:rFonts w:eastAsia="Arial"/>
        <w:sz w:val="18"/>
        <w:szCs w:val="18"/>
        <w:lang w:val="sq-AL"/>
      </w:rPr>
    </w:lvl>
    <w:lvl w:ilvl="1">
      <w:start w:val="4"/>
      <w:numFmt w:val="decimal"/>
      <w:lvlText w:val="%1.%2"/>
      <w:lvlJc w:val="left"/>
      <w:pPr>
        <w:tabs>
          <w:tab w:val="num" w:pos="0"/>
        </w:tabs>
        <w:ind w:left="720" w:hanging="360"/>
      </w:pPr>
      <w:rPr>
        <w:rFonts w:eastAsia="Arial"/>
        <w:sz w:val="18"/>
        <w:szCs w:val="18"/>
        <w:lang w:val="sq-AL"/>
      </w:rPr>
    </w:lvl>
    <w:lvl w:ilvl="2">
      <w:start w:val="1"/>
      <w:numFmt w:val="decimal"/>
      <w:lvlText w:val="%1.%2.%3"/>
      <w:lvlJc w:val="left"/>
      <w:pPr>
        <w:tabs>
          <w:tab w:val="num" w:pos="0"/>
        </w:tabs>
        <w:ind w:left="720" w:hanging="360"/>
      </w:pPr>
      <w:rPr>
        <w:rFonts w:eastAsia="Arial"/>
        <w:sz w:val="18"/>
        <w:szCs w:val="18"/>
        <w:lang w:val="sq-AL"/>
      </w:rPr>
    </w:lvl>
    <w:lvl w:ilvl="3">
      <w:start w:val="1"/>
      <w:numFmt w:val="decimal"/>
      <w:lvlText w:val="%1.%2.%3.%4"/>
      <w:lvlJc w:val="left"/>
      <w:pPr>
        <w:tabs>
          <w:tab w:val="num" w:pos="0"/>
        </w:tabs>
        <w:ind w:left="1080" w:hanging="720"/>
      </w:pPr>
      <w:rPr>
        <w:rFonts w:eastAsia="Arial"/>
        <w:sz w:val="18"/>
        <w:szCs w:val="18"/>
        <w:lang w:val="sq-AL"/>
      </w:rPr>
    </w:lvl>
    <w:lvl w:ilvl="4">
      <w:start w:val="1"/>
      <w:numFmt w:val="decimal"/>
      <w:lvlText w:val="%1.%2.%3.%4.%5"/>
      <w:lvlJc w:val="left"/>
      <w:pPr>
        <w:tabs>
          <w:tab w:val="num" w:pos="0"/>
        </w:tabs>
        <w:ind w:left="1080" w:hanging="720"/>
      </w:pPr>
      <w:rPr>
        <w:rFonts w:eastAsia="Arial"/>
        <w:sz w:val="18"/>
        <w:szCs w:val="18"/>
        <w:lang w:val="sq-AL"/>
      </w:rPr>
    </w:lvl>
    <w:lvl w:ilvl="5">
      <w:start w:val="1"/>
      <w:numFmt w:val="decimal"/>
      <w:lvlText w:val="%1.%2.%3.%4.%5.%6"/>
      <w:lvlJc w:val="left"/>
      <w:pPr>
        <w:tabs>
          <w:tab w:val="num" w:pos="0"/>
        </w:tabs>
        <w:ind w:left="1440" w:hanging="1080"/>
      </w:pPr>
      <w:rPr>
        <w:rFonts w:eastAsia="Arial"/>
        <w:sz w:val="18"/>
        <w:szCs w:val="18"/>
        <w:lang w:val="sq-AL"/>
      </w:rPr>
    </w:lvl>
    <w:lvl w:ilvl="6">
      <w:start w:val="1"/>
      <w:numFmt w:val="decimal"/>
      <w:lvlText w:val="%1.%2.%3.%4.%5.%6.%7"/>
      <w:lvlJc w:val="left"/>
      <w:pPr>
        <w:tabs>
          <w:tab w:val="num" w:pos="0"/>
        </w:tabs>
        <w:ind w:left="1440" w:hanging="1080"/>
      </w:pPr>
      <w:rPr>
        <w:rFonts w:eastAsia="Arial"/>
        <w:sz w:val="18"/>
        <w:szCs w:val="18"/>
        <w:lang w:val="sq-AL"/>
      </w:rPr>
    </w:lvl>
    <w:lvl w:ilvl="7">
      <w:start w:val="1"/>
      <w:numFmt w:val="decimal"/>
      <w:lvlText w:val="%1.%2.%3.%4.%5.%6.%7.%8"/>
      <w:lvlJc w:val="left"/>
      <w:pPr>
        <w:tabs>
          <w:tab w:val="num" w:pos="0"/>
        </w:tabs>
        <w:ind w:left="1440" w:hanging="1080"/>
      </w:pPr>
      <w:rPr>
        <w:rFonts w:eastAsia="Arial"/>
        <w:sz w:val="18"/>
        <w:szCs w:val="18"/>
        <w:lang w:val="sq-AL"/>
      </w:rPr>
    </w:lvl>
    <w:lvl w:ilvl="8">
      <w:start w:val="1"/>
      <w:numFmt w:val="decimal"/>
      <w:lvlText w:val="%1.%2.%3.%4.%5.%6.%7.%8.%9"/>
      <w:lvlJc w:val="left"/>
      <w:pPr>
        <w:tabs>
          <w:tab w:val="num" w:pos="0"/>
        </w:tabs>
        <w:ind w:left="1800" w:hanging="1440"/>
      </w:pPr>
      <w:rPr>
        <w:rFonts w:eastAsia="Arial"/>
        <w:sz w:val="18"/>
        <w:szCs w:val="18"/>
        <w:lang w:val="sq-AL"/>
      </w:rPr>
    </w:lvl>
  </w:abstractNum>
  <w:abstractNum w:abstractNumId="1" w15:restartNumberingAfterBreak="0">
    <w:nsid w:val="20D53152"/>
    <w:multiLevelType w:val="multilevel"/>
    <w:tmpl w:val="FFFFFFFF"/>
    <w:lvl w:ilvl="0">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241F7671"/>
    <w:multiLevelType w:val="multilevel"/>
    <w:tmpl w:val="FFFFFFFF"/>
    <w:lvl w:ilvl="0">
      <w:numFmt w:val="bullet"/>
      <w:lvlText w:val=""/>
      <w:lvlJc w:val="left"/>
      <w:pPr>
        <w:tabs>
          <w:tab w:val="num" w:pos="0"/>
        </w:tabs>
        <w:ind w:left="720" w:hanging="360"/>
      </w:pPr>
      <w:rPr>
        <w:rFonts w:ascii="Symbol" w:hAnsi="Symbol" w:cs="Symbol" w:hint="default"/>
        <w:lang w:val="sq-A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29241590"/>
    <w:multiLevelType w:val="multilevel"/>
    <w:tmpl w:val="FFFFFFFF"/>
    <w:lvl w:ilvl="0">
      <w:numFmt w:val="bullet"/>
      <w:lvlText w:val=""/>
      <w:lvlJc w:val="left"/>
      <w:pPr>
        <w:tabs>
          <w:tab w:val="num" w:pos="0"/>
        </w:tabs>
        <w:ind w:left="720" w:hanging="360"/>
      </w:pPr>
      <w:rPr>
        <w:rFonts w:ascii="Symbol" w:hAnsi="Symbol" w:cs="Symbol" w:hint="default"/>
        <w:lang w:val="sq-A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46516626"/>
    <w:multiLevelType w:val="multilevel"/>
    <w:tmpl w:val="FFFFFFFF"/>
    <w:lvl w:ilvl="0">
      <w:numFmt w:val="bullet"/>
      <w:pStyle w:val="Clause"/>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47892107"/>
    <w:multiLevelType w:val="multilevel"/>
    <w:tmpl w:val="FFFFFFFF"/>
    <w:lvl w:ilvl="0">
      <w:numFmt w:val="bullet"/>
      <w:lvlText w:val="-"/>
      <w:lvlJc w:val="left"/>
      <w:pPr>
        <w:tabs>
          <w:tab w:val="num" w:pos="0"/>
        </w:tabs>
        <w:ind w:left="360" w:hanging="360"/>
      </w:pPr>
      <w:rPr>
        <w:rFonts w:ascii="Calibri" w:hAnsi="Calibri" w:cs="Calibri"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51E45388"/>
    <w:multiLevelType w:val="multilevel"/>
    <w:tmpl w:val="FFFFFFFF"/>
    <w:lvl w:ilvl="0">
      <w:numFmt w:val="bullet"/>
      <w:lvlText w:val=""/>
      <w:lvlJc w:val="left"/>
      <w:pPr>
        <w:tabs>
          <w:tab w:val="num" w:pos="0"/>
        </w:tabs>
        <w:ind w:left="720" w:hanging="360"/>
      </w:pPr>
      <w:rPr>
        <w:rFonts w:ascii="Symbol" w:hAnsi="Symbol" w:cs="Symbol" w:hint="default"/>
        <w:lang w:val="sq-A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55420A5B"/>
    <w:multiLevelType w:val="multilevel"/>
    <w:tmpl w:val="FFFFFFFF"/>
    <w:lvl w:ilvl="0">
      <w:numFmt w:val="bullet"/>
      <w:lvlText w:val=""/>
      <w:lvlJc w:val="left"/>
      <w:pPr>
        <w:tabs>
          <w:tab w:val="num" w:pos="0"/>
        </w:tabs>
        <w:ind w:left="720" w:hanging="360"/>
      </w:pPr>
      <w:rPr>
        <w:rFonts w:ascii="Wingdings" w:hAnsi="Wingdings" w:cs="Wingdings" w:hint="default"/>
        <w:lang w:val="sq-A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6B8F1112"/>
    <w:multiLevelType w:val="multilevel"/>
    <w:tmpl w:val="FFFFFFFF"/>
    <w:lvl w:ilvl="0">
      <w:numFmt w:val="bullet"/>
      <w:lvlText w:val=""/>
      <w:lvlJc w:val="left"/>
      <w:pPr>
        <w:tabs>
          <w:tab w:val="num" w:pos="0"/>
        </w:tabs>
        <w:ind w:left="720" w:hanging="360"/>
      </w:pPr>
      <w:rPr>
        <w:rFonts w:ascii="Symbol" w:hAnsi="Symbol" w:cs="Symbol" w:hint="default"/>
        <w:lang w:val="sq-A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789F402B"/>
    <w:multiLevelType w:val="multilevel"/>
    <w:tmpl w:val="FFFFFFFF"/>
    <w:lvl w:ilvl="0">
      <w:numFmt w:val="bullet"/>
      <w:lvlText w:val=""/>
      <w:lvlJc w:val="left"/>
      <w:pPr>
        <w:tabs>
          <w:tab w:val="num" w:pos="0"/>
        </w:tabs>
        <w:ind w:left="1440" w:hanging="360"/>
      </w:pPr>
      <w:rPr>
        <w:rFonts w:ascii="Symbol" w:hAnsi="Symbol" w:cs="Symbol" w:hint="default"/>
        <w:lang w:val="sq-A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7C495881"/>
    <w:multiLevelType w:val="multilevel"/>
    <w:tmpl w:val="FFFFFFFF"/>
    <w:lvl w:ilvl="0">
      <w:numFmt w:val="bullet"/>
      <w:lvlText w:val="-"/>
      <w:lvlJc w:val="left"/>
      <w:pPr>
        <w:tabs>
          <w:tab w:val="num" w:pos="0"/>
        </w:tabs>
        <w:ind w:left="720" w:hanging="360"/>
      </w:pPr>
      <w:rPr>
        <w:rFonts w:ascii="Arial" w:hAnsi="Arial" w:cs="Arial" w:hint="default"/>
        <w:color w:val="000000"/>
        <w:sz w:val="24"/>
        <w:szCs w:val="24"/>
        <w:lang w:val="sq-A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16cid:durableId="1824733044">
    <w:abstractNumId w:val="4"/>
  </w:num>
  <w:num w:numId="2" w16cid:durableId="1511412122">
    <w:abstractNumId w:val="1"/>
  </w:num>
  <w:num w:numId="3" w16cid:durableId="24329097">
    <w:abstractNumId w:val="7"/>
  </w:num>
  <w:num w:numId="4" w16cid:durableId="2001545704">
    <w:abstractNumId w:val="6"/>
  </w:num>
  <w:num w:numId="5" w16cid:durableId="148639134">
    <w:abstractNumId w:val="2"/>
  </w:num>
  <w:num w:numId="6" w16cid:durableId="48463099">
    <w:abstractNumId w:val="8"/>
  </w:num>
  <w:num w:numId="7" w16cid:durableId="1655793516">
    <w:abstractNumId w:val="10"/>
  </w:num>
  <w:num w:numId="8" w16cid:durableId="2133817053">
    <w:abstractNumId w:val="3"/>
  </w:num>
  <w:num w:numId="9" w16cid:durableId="1943100872">
    <w:abstractNumId w:val="9"/>
  </w:num>
  <w:num w:numId="10" w16cid:durableId="899366946">
    <w:abstractNumId w:val="5"/>
  </w:num>
  <w:num w:numId="11" w16cid:durableId="1401977602">
    <w:abstractNumId w:val="1"/>
  </w:num>
  <w:num w:numId="12" w16cid:durableId="225772007">
    <w:abstractNumId w:val="1"/>
  </w:num>
  <w:num w:numId="13" w16cid:durableId="1681882935">
    <w:abstractNumId w:val="1"/>
  </w:num>
  <w:num w:numId="14" w16cid:durableId="1633827520">
    <w:abstractNumId w:val="7"/>
  </w:num>
  <w:num w:numId="15" w16cid:durableId="769551261">
    <w:abstractNumId w:val="6"/>
  </w:num>
  <w:num w:numId="16" w16cid:durableId="1572235874">
    <w:abstractNumId w:val="6"/>
  </w:num>
  <w:num w:numId="17" w16cid:durableId="1359816210">
    <w:abstractNumId w:val="6"/>
  </w:num>
  <w:num w:numId="18" w16cid:durableId="1301882425">
    <w:abstractNumId w:val="6"/>
  </w:num>
  <w:num w:numId="19" w16cid:durableId="860357572">
    <w:abstractNumId w:val="6"/>
  </w:num>
  <w:num w:numId="20" w16cid:durableId="1527521394">
    <w:abstractNumId w:val="6"/>
  </w:num>
  <w:num w:numId="21" w16cid:durableId="673147138">
    <w:abstractNumId w:val="6"/>
  </w:num>
  <w:num w:numId="22" w16cid:durableId="395394846">
    <w:abstractNumId w:val="2"/>
  </w:num>
  <w:num w:numId="23" w16cid:durableId="800146240">
    <w:abstractNumId w:val="2"/>
  </w:num>
  <w:num w:numId="24" w16cid:durableId="946617335">
    <w:abstractNumId w:val="8"/>
  </w:num>
  <w:num w:numId="25" w16cid:durableId="1063413496">
    <w:abstractNumId w:val="8"/>
  </w:num>
  <w:num w:numId="26" w16cid:durableId="907688355">
    <w:abstractNumId w:val="8"/>
  </w:num>
  <w:num w:numId="27" w16cid:durableId="485122558">
    <w:abstractNumId w:val="8"/>
  </w:num>
  <w:num w:numId="28" w16cid:durableId="541140822">
    <w:abstractNumId w:val="8"/>
  </w:num>
  <w:num w:numId="29" w16cid:durableId="1178471527">
    <w:abstractNumId w:val="8"/>
  </w:num>
  <w:num w:numId="30" w16cid:durableId="1200121059">
    <w:abstractNumId w:val="8"/>
  </w:num>
  <w:num w:numId="31" w16cid:durableId="637802668">
    <w:abstractNumId w:val="8"/>
  </w:num>
  <w:num w:numId="32" w16cid:durableId="788478429">
    <w:abstractNumId w:val="0"/>
    <w:lvlOverride w:ilvl="0">
      <w:startOverride w:val="1"/>
    </w:lvlOverride>
  </w:num>
  <w:num w:numId="33" w16cid:durableId="949118492">
    <w:abstractNumId w:val="10"/>
  </w:num>
  <w:num w:numId="34" w16cid:durableId="69347617">
    <w:abstractNumId w:val="10"/>
  </w:num>
  <w:num w:numId="35" w16cid:durableId="1679574551">
    <w:abstractNumId w:val="10"/>
  </w:num>
  <w:num w:numId="36" w16cid:durableId="877860298">
    <w:abstractNumId w:val="0"/>
  </w:num>
  <w:num w:numId="37" w16cid:durableId="759135846">
    <w:abstractNumId w:val="10"/>
  </w:num>
  <w:num w:numId="38" w16cid:durableId="1028220435">
    <w:abstractNumId w:val="10"/>
  </w:num>
  <w:num w:numId="39" w16cid:durableId="1639918312">
    <w:abstractNumId w:val="10"/>
  </w:num>
  <w:num w:numId="40" w16cid:durableId="954017643">
    <w:abstractNumId w:val="10"/>
  </w:num>
  <w:num w:numId="41" w16cid:durableId="1351682515">
    <w:abstractNumId w:val="10"/>
  </w:num>
  <w:num w:numId="42" w16cid:durableId="1600942281">
    <w:abstractNumId w:val="10"/>
  </w:num>
  <w:num w:numId="43" w16cid:durableId="516625508">
    <w:abstractNumId w:val="10"/>
  </w:num>
  <w:num w:numId="44" w16cid:durableId="941641992">
    <w:abstractNumId w:val="10"/>
  </w:num>
  <w:num w:numId="45" w16cid:durableId="800853182">
    <w:abstractNumId w:val="3"/>
  </w:num>
  <w:num w:numId="46" w16cid:durableId="1767143938">
    <w:abstractNumId w:val="3"/>
  </w:num>
  <w:num w:numId="47" w16cid:durableId="653609755">
    <w:abstractNumId w:val="3"/>
  </w:num>
  <w:num w:numId="48" w16cid:durableId="2067679392">
    <w:abstractNumId w:val="9"/>
  </w:num>
  <w:num w:numId="49" w16cid:durableId="1713070021">
    <w:abstractNumId w:val="9"/>
  </w:num>
  <w:num w:numId="50" w16cid:durableId="147525987">
    <w:abstractNumId w:val="0"/>
  </w:num>
  <w:num w:numId="51" w16cid:durableId="273102605">
    <w:abstractNumId w:val="0"/>
  </w:num>
  <w:num w:numId="52" w16cid:durableId="916403357">
    <w:abstractNumId w:val="5"/>
  </w:num>
  <w:num w:numId="53" w16cid:durableId="1092046066">
    <w:abstractNumId w:val="5"/>
  </w:num>
  <w:num w:numId="54" w16cid:durableId="1939949050">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7BE"/>
    <w:rsid w:val="00050E29"/>
    <w:rsid w:val="003307BE"/>
    <w:rsid w:val="003474DA"/>
    <w:rsid w:val="008E7E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C993900F-3AD2-334F-9319-61B9197E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extAlignment w:val="baseline"/>
    </w:pPr>
  </w:style>
  <w:style w:type="paragraph" w:styleId="Heading1">
    <w:name w:val="heading 1"/>
    <w:basedOn w:val="Standard"/>
    <w:next w:val="Standard"/>
    <w:uiPriority w:val="9"/>
    <w:qFormat/>
    <w:pPr>
      <w:keepNext/>
      <w:spacing w:before="240" w:after="60"/>
      <w:outlineLvl w:val="0"/>
    </w:pPr>
    <w:rPr>
      <w:rFonts w:ascii="Arial" w:eastAsia="Arial" w:hAnsi="Arial" w:cs="Arial"/>
      <w:b/>
      <w:bCs/>
      <w:sz w:val="32"/>
      <w:szCs w:val="32"/>
      <w:lang w:val="bg-BG"/>
    </w:rPr>
  </w:style>
  <w:style w:type="paragraph" w:styleId="Heading2">
    <w:name w:val="heading 2"/>
    <w:basedOn w:val="Standard"/>
    <w:next w:val="Standard"/>
    <w:uiPriority w:val="9"/>
    <w:unhideWhenUsed/>
    <w:qFormat/>
    <w:pPr>
      <w:keepNext/>
      <w:spacing w:before="240" w:after="60"/>
      <w:outlineLvl w:val="1"/>
    </w:pPr>
    <w:rPr>
      <w:rFonts w:ascii="Arial" w:eastAsia="Arial" w:hAnsi="Arial" w:cs="Arial"/>
      <w:b/>
      <w:bCs/>
      <w:i/>
      <w:iCs/>
      <w:sz w:val="28"/>
      <w:szCs w:val="28"/>
      <w:lang w:val="bg-BG"/>
    </w:rPr>
  </w:style>
  <w:style w:type="paragraph" w:styleId="Heading3">
    <w:name w:val="heading 3"/>
    <w:basedOn w:val="Standard"/>
    <w:next w:val="Standard"/>
    <w:uiPriority w:val="9"/>
    <w:unhideWhenUsed/>
    <w:qFormat/>
    <w:pPr>
      <w:keepNext/>
      <w:spacing w:before="240" w:after="60"/>
      <w:outlineLvl w:val="2"/>
    </w:pPr>
    <w:rPr>
      <w:rFonts w:ascii="Cambria" w:hAnsi="Cambria"/>
      <w:b/>
      <w:bCs/>
      <w:sz w:val="26"/>
      <w:szCs w:val="26"/>
    </w:rPr>
  </w:style>
  <w:style w:type="paragraph" w:styleId="Heading4">
    <w:name w:val="heading 4"/>
    <w:basedOn w:val="Standard"/>
    <w:next w:val="Standard"/>
    <w:uiPriority w:val="9"/>
    <w:semiHidden/>
    <w:unhideWhenUsed/>
    <w:qFormat/>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Wingdings" w:eastAsia="Wingdings" w:hAnsi="Wingdings" w:cs="Wingdings"/>
      <w:lang w:val="sq-AL"/>
    </w:rPr>
  </w:style>
  <w:style w:type="character" w:customStyle="1" w:styleId="WW8Num3z0">
    <w:name w:val="WW8Num3z0"/>
    <w:qFormat/>
    <w:rPr>
      <w:rFonts w:ascii="Calibri" w:eastAsia="Calibri" w:hAnsi="Calibri" w:cs="Calibri"/>
    </w:rPr>
  </w:style>
  <w:style w:type="character" w:customStyle="1" w:styleId="WW8Num4z0">
    <w:name w:val="WW8Num4z0"/>
    <w:qFormat/>
    <w:rPr>
      <w:rFonts w:ascii="Symbol" w:eastAsia="Symbol" w:hAnsi="Symbol" w:cs="Symbol"/>
    </w:rPr>
  </w:style>
  <w:style w:type="character" w:customStyle="1" w:styleId="WW8Num5z0">
    <w:name w:val="WW8Num5z0"/>
    <w:qFormat/>
    <w:rPr>
      <w:lang w:val="sq-AL"/>
    </w:rPr>
  </w:style>
  <w:style w:type="character" w:customStyle="1" w:styleId="WW8Num6z0">
    <w:name w:val="WW8Num6z0"/>
    <w:qFormat/>
    <w:rPr>
      <w:rFonts w:ascii="Symbol" w:eastAsia="Symbol" w:hAnsi="Symbol" w:cs="Symbol"/>
      <w:lang w:val="sq-AL"/>
    </w:rPr>
  </w:style>
  <w:style w:type="character" w:customStyle="1" w:styleId="WW8Num7z0">
    <w:name w:val="WW8Num7z0"/>
    <w:qFormat/>
    <w:rPr>
      <w:rFonts w:ascii="Symbol" w:eastAsia="Symbol" w:hAnsi="Symbol" w:cs="Symbol"/>
      <w:lang w:val="sq-AL"/>
    </w:rPr>
  </w:style>
  <w:style w:type="character" w:customStyle="1" w:styleId="WW8Num8z0">
    <w:name w:val="WW8Num8z0"/>
    <w:qFormat/>
    <w:rPr>
      <w:rFonts w:ascii="Symbol" w:eastAsia="Symbol" w:hAnsi="Symbol" w:cs="Symbol"/>
      <w:lang w:val="sq-AL"/>
    </w:rPr>
  </w:style>
  <w:style w:type="character" w:customStyle="1" w:styleId="WW8Num9z0">
    <w:name w:val="WW8Num9z0"/>
    <w:qFormat/>
    <w:rPr>
      <w:rFonts w:ascii="Arial" w:eastAsia="Arial" w:hAnsi="Arial" w:cs="Arial"/>
      <w:color w:val="000000"/>
      <w:sz w:val="24"/>
      <w:szCs w:val="24"/>
      <w:lang w:val="sq-AL"/>
    </w:rPr>
  </w:style>
  <w:style w:type="character" w:customStyle="1" w:styleId="WW8Num10z0">
    <w:name w:val="WW8Num10z0"/>
    <w:qFormat/>
    <w:rPr>
      <w:rFonts w:eastAsia="Arial"/>
      <w:sz w:val="18"/>
      <w:szCs w:val="18"/>
      <w:lang w:val="sq-AL"/>
    </w:rPr>
  </w:style>
  <w:style w:type="character" w:customStyle="1" w:styleId="WW8Num11z0">
    <w:name w:val="WW8Num11z0"/>
    <w:qFormat/>
    <w:rPr>
      <w:rFonts w:ascii="Wingdings" w:eastAsia="Wingdings" w:hAnsi="Wingdings" w:cs="Wingdings"/>
      <w:lang w:val="sq-AL"/>
    </w:rPr>
  </w:style>
  <w:style w:type="character" w:customStyle="1" w:styleId="WW8Num12z0">
    <w:name w:val="WW8Num12z0"/>
    <w:qFormat/>
    <w:rPr>
      <w:rFonts w:ascii="Symbol" w:eastAsia="Symbol" w:hAnsi="Symbol" w:cs="Symbol"/>
      <w:lang w:val="sq-AL"/>
    </w:rPr>
  </w:style>
  <w:style w:type="character" w:customStyle="1" w:styleId="WW8Num13z0">
    <w:name w:val="WW8Num13z0"/>
    <w:qFormat/>
    <w:rPr>
      <w:rFonts w:ascii="Symbol" w:eastAsia="Symbol" w:hAnsi="Symbol" w:cs="Symbol"/>
    </w:rPr>
  </w:style>
  <w:style w:type="character" w:customStyle="1" w:styleId="WW8Num14z0">
    <w:name w:val="WW8Num14z0"/>
    <w:qFormat/>
    <w:rPr>
      <w:rFonts w:ascii="Symbol" w:eastAsia="Symbol" w:hAnsi="Symbol" w:cs="Symbol"/>
      <w:lang w:val="sq-AL"/>
    </w:rPr>
  </w:style>
  <w:style w:type="character" w:customStyle="1" w:styleId="WW8Num15z0">
    <w:name w:val="WW8Num15z0"/>
    <w:qFormat/>
    <w:rPr>
      <w:rFonts w:ascii="Symbol" w:eastAsia="Symbol" w:hAnsi="Symbol" w:cs="Symbol"/>
    </w:rPr>
  </w:style>
  <w:style w:type="character" w:customStyle="1" w:styleId="WW8Num16z0">
    <w:name w:val="WW8Num16z0"/>
    <w:qFormat/>
    <w:rPr>
      <w:rFonts w:ascii="Symbol" w:eastAsia="Symbol" w:hAnsi="Symbol" w:cs="Symbol"/>
      <w:lang w:val="sq-A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7z1">
    <w:name w:val="WW8Num7z1"/>
    <w:qFormat/>
    <w:rPr>
      <w:rFonts w:ascii="Courier New" w:eastAsia="Courier New" w:hAnsi="Courier New" w:cs="Courier New"/>
    </w:rPr>
  </w:style>
  <w:style w:type="character" w:customStyle="1" w:styleId="WW8Num7z2">
    <w:name w:val="WW8Num7z2"/>
    <w:qFormat/>
    <w:rPr>
      <w:rFonts w:ascii="Wingdings" w:eastAsia="Wingdings" w:hAnsi="Wingdings" w:cs="Wingdings"/>
    </w:rPr>
  </w:style>
  <w:style w:type="character" w:customStyle="1" w:styleId="WW8Num7z3">
    <w:name w:val="WW8Num7z3"/>
    <w:qFormat/>
    <w:rPr>
      <w:rFonts w:ascii="Symbol" w:eastAsia="Symbol" w:hAnsi="Symbol" w:cs="Symbol"/>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rPr>
      <w:rFonts w:ascii="Courier New" w:eastAsia="Courier New" w:hAnsi="Courier New" w:cs="Courier New"/>
    </w:rPr>
  </w:style>
  <w:style w:type="character" w:customStyle="1" w:styleId="WW8Num11z2">
    <w:name w:val="WW8Num11z2"/>
    <w:qFormat/>
    <w:rPr>
      <w:rFonts w:ascii="Wingdings" w:eastAsia="Wingdings" w:hAnsi="Wingdings" w:cs="Wingdings"/>
    </w:rPr>
  </w:style>
  <w:style w:type="character" w:customStyle="1" w:styleId="WW8Num12z1">
    <w:name w:val="WW8Num12z1"/>
    <w:qFormat/>
    <w:rPr>
      <w:rFonts w:ascii="Courier New" w:eastAsia="Courier New" w:hAnsi="Courier New" w:cs="Courier New"/>
    </w:rPr>
  </w:style>
  <w:style w:type="character" w:customStyle="1" w:styleId="WW8Num12z2">
    <w:name w:val="WW8Num12z2"/>
    <w:qFormat/>
    <w:rPr>
      <w:rFonts w:ascii="Wingdings" w:eastAsia="Wingdings" w:hAnsi="Wingdings" w:cs="Wingdings"/>
    </w:rPr>
  </w:style>
  <w:style w:type="character" w:customStyle="1" w:styleId="WW8Num13z1">
    <w:name w:val="WW8Num13z1"/>
    <w:qFormat/>
    <w:rPr>
      <w:rFonts w:ascii="Courier New" w:eastAsia="Courier New" w:hAnsi="Courier New" w:cs="Courier New"/>
    </w:rPr>
  </w:style>
  <w:style w:type="character" w:customStyle="1" w:styleId="WW8Num13z2">
    <w:name w:val="WW8Num13z2"/>
    <w:qFormat/>
    <w:rPr>
      <w:rFonts w:ascii="Wingdings" w:eastAsia="Wingdings" w:hAnsi="Wingdings" w:cs="Wingdings"/>
    </w:rPr>
  </w:style>
  <w:style w:type="character" w:customStyle="1" w:styleId="WW8Num14z1">
    <w:name w:val="WW8Num14z1"/>
    <w:qFormat/>
    <w:rPr>
      <w:rFonts w:ascii="Courier New" w:eastAsia="Courier New" w:hAnsi="Courier New" w:cs="Courier New"/>
    </w:rPr>
  </w:style>
  <w:style w:type="character" w:customStyle="1" w:styleId="WW8Num14z2">
    <w:name w:val="WW8Num14z2"/>
    <w:qFormat/>
    <w:rPr>
      <w:rFonts w:ascii="Wingdings" w:eastAsia="Wingdings" w:hAnsi="Wingdings" w:cs="Wingdings"/>
    </w:rPr>
  </w:style>
  <w:style w:type="character" w:customStyle="1" w:styleId="WW8Num14z3">
    <w:name w:val="WW8Num14z3"/>
    <w:qFormat/>
    <w:rPr>
      <w:rFonts w:ascii="Symbol" w:eastAsia="Symbol" w:hAnsi="Symbol" w:cs="Symbol"/>
    </w:rPr>
  </w:style>
  <w:style w:type="character" w:customStyle="1" w:styleId="WW8Num16z1">
    <w:name w:val="WW8Num16z1"/>
    <w:qFormat/>
    <w:rPr>
      <w:rFonts w:ascii="Courier New" w:eastAsia="Courier New" w:hAnsi="Courier New" w:cs="Courier New"/>
    </w:rPr>
  </w:style>
  <w:style w:type="character" w:customStyle="1" w:styleId="WW8Num16z3">
    <w:name w:val="WW8Num16z3"/>
    <w:qFormat/>
    <w:rPr>
      <w:rFonts w:ascii="Symbol" w:eastAsia="Symbol" w:hAnsi="Symbol" w:cs="Symbol"/>
    </w:rPr>
  </w:style>
  <w:style w:type="character" w:customStyle="1" w:styleId="WW8Num17z0">
    <w:name w:val="WW8Num17z0"/>
    <w:qFormat/>
    <w:rPr>
      <w:b/>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Symbol" w:eastAsia="Symbol" w:hAnsi="Symbol" w:cs="Symbol"/>
      <w:lang w:val="sq-AL"/>
    </w:rPr>
  </w:style>
  <w:style w:type="character" w:customStyle="1" w:styleId="WW8Num18z1">
    <w:name w:val="WW8Num18z1"/>
    <w:qFormat/>
    <w:rPr>
      <w:rFonts w:ascii="Courier New" w:eastAsia="Courier New" w:hAnsi="Courier New" w:cs="Courier New"/>
    </w:rPr>
  </w:style>
  <w:style w:type="character" w:customStyle="1" w:styleId="WW8Num18z2">
    <w:name w:val="WW8Num18z2"/>
    <w:qFormat/>
    <w:rPr>
      <w:rFonts w:ascii="Wingdings" w:eastAsia="Wingdings" w:hAnsi="Wingdings" w:cs="Wingdings"/>
    </w:rPr>
  </w:style>
  <w:style w:type="character" w:customStyle="1" w:styleId="WW8Num19z0">
    <w:name w:val="WW8Num19z0"/>
    <w:qFormat/>
    <w:rPr>
      <w:rFonts w:ascii="Symbol" w:eastAsia="Symbol" w:hAnsi="Symbol" w:cs="Symbol"/>
    </w:rPr>
  </w:style>
  <w:style w:type="character" w:customStyle="1" w:styleId="WW8Num19z1">
    <w:name w:val="WW8Num19z1"/>
    <w:qFormat/>
    <w:rPr>
      <w:rFonts w:ascii="Courier New" w:eastAsia="Courier New" w:hAnsi="Courier New" w:cs="Courier New"/>
    </w:rPr>
  </w:style>
  <w:style w:type="character" w:customStyle="1" w:styleId="WW8Num19z2">
    <w:name w:val="WW8Num19z2"/>
    <w:qFormat/>
    <w:rPr>
      <w:rFonts w:ascii="Wingdings" w:eastAsia="Wingdings" w:hAnsi="Wingdings" w:cs="Wingdings"/>
    </w:rPr>
  </w:style>
  <w:style w:type="character" w:customStyle="1" w:styleId="WW8Num20z0">
    <w:name w:val="WW8Num20z0"/>
    <w:qFormat/>
    <w:rPr>
      <w:rFonts w:ascii="Symbol" w:eastAsia="Symbol" w:hAnsi="Symbol" w:cs="Symbol"/>
      <w:lang w:val="sq-AL"/>
    </w:rPr>
  </w:style>
  <w:style w:type="character" w:customStyle="1" w:styleId="WW8Num20z1">
    <w:name w:val="WW8Num20z1"/>
    <w:qFormat/>
    <w:rPr>
      <w:rFonts w:ascii="Courier New" w:eastAsia="Courier New" w:hAnsi="Courier New" w:cs="Courier New"/>
    </w:rPr>
  </w:style>
  <w:style w:type="character" w:customStyle="1" w:styleId="WW8Num20z2">
    <w:name w:val="WW8Num20z2"/>
    <w:qFormat/>
    <w:rPr>
      <w:rFonts w:ascii="Wingdings" w:eastAsia="Wingdings" w:hAnsi="Wingdings" w:cs="Wingdings"/>
    </w:rPr>
  </w:style>
  <w:style w:type="character" w:customStyle="1" w:styleId="CharChar5">
    <w:name w:val="Char Char5"/>
    <w:qFormat/>
    <w:rPr>
      <w:sz w:val="24"/>
      <w:szCs w:val="24"/>
    </w:rPr>
  </w:style>
  <w:style w:type="character" w:customStyle="1" w:styleId="FootnoteCharacters">
    <w:name w:val="Footnote Characters"/>
    <w:basedOn w:val="DefaultParagraphFont"/>
    <w:uiPriority w:val="99"/>
    <w:semiHidden/>
    <w:unhideWhenUsed/>
    <w:qFormat/>
    <w:rPr>
      <w:vertAlign w:val="superscript"/>
    </w:rPr>
  </w:style>
  <w:style w:type="character" w:customStyle="1" w:styleId="CharChar3">
    <w:name w:val="Char Char3"/>
    <w:qFormat/>
    <w:rPr>
      <w:spacing w:val="-2"/>
    </w:rPr>
  </w:style>
  <w:style w:type="character" w:customStyle="1" w:styleId="Hyperlink1">
    <w:name w:val="Hyperlink1"/>
    <w:qFormat/>
    <w:rPr>
      <w:color w:val="0000FF"/>
      <w:u w:val="single"/>
    </w:rPr>
  </w:style>
  <w:style w:type="character" w:customStyle="1" w:styleId="CharChar9">
    <w:name w:val="Char Char9"/>
    <w:qFormat/>
    <w:rPr>
      <w:rFonts w:ascii="Arial" w:eastAsia="Arial" w:hAnsi="Arial" w:cs="Arial"/>
      <w:b/>
      <w:bCs/>
      <w:kern w:val="2"/>
      <w:sz w:val="32"/>
      <w:szCs w:val="32"/>
      <w:lang w:val="bg-BG"/>
    </w:rPr>
  </w:style>
  <w:style w:type="character" w:customStyle="1" w:styleId="CharChar8">
    <w:name w:val="Char Char8"/>
    <w:qFormat/>
    <w:rPr>
      <w:rFonts w:ascii="Arial" w:eastAsia="Arial" w:hAnsi="Arial" w:cs="Arial"/>
      <w:b/>
      <w:bCs/>
      <w:i/>
      <w:iCs/>
      <w:sz w:val="28"/>
      <w:szCs w:val="28"/>
      <w:lang w:val="bg-BG"/>
    </w:rPr>
  </w:style>
  <w:style w:type="character" w:styleId="CommentReference">
    <w:name w:val="annotation reference"/>
    <w:qFormat/>
    <w:rPr>
      <w:sz w:val="16"/>
      <w:szCs w:val="16"/>
    </w:rPr>
  </w:style>
  <w:style w:type="character" w:customStyle="1" w:styleId="CharChar2">
    <w:name w:val="Char Char2"/>
    <w:basedOn w:val="DefaultParagraphFont"/>
    <w:qFormat/>
  </w:style>
  <w:style w:type="character" w:customStyle="1" w:styleId="CharChar1">
    <w:name w:val="Char Char1"/>
    <w:qFormat/>
    <w:rPr>
      <w:b/>
      <w:bCs/>
    </w:rPr>
  </w:style>
  <w:style w:type="character" w:customStyle="1" w:styleId="CharChar4">
    <w:name w:val="Char Char4"/>
    <w:qFormat/>
    <w:rPr>
      <w:sz w:val="24"/>
      <w:szCs w:val="24"/>
    </w:rPr>
  </w:style>
  <w:style w:type="character" w:customStyle="1" w:styleId="yshortcuts">
    <w:name w:val="yshortcuts"/>
    <w:basedOn w:val="DefaultParagraphFont"/>
    <w:qFormat/>
  </w:style>
  <w:style w:type="character" w:customStyle="1" w:styleId="CharChar7">
    <w:name w:val="Char Char7"/>
    <w:qFormat/>
    <w:rPr>
      <w:rFonts w:ascii="Cambria" w:eastAsia="Times New Roman" w:hAnsi="Cambria" w:cs="Times New Roman"/>
      <w:b/>
      <w:bCs/>
      <w:sz w:val="26"/>
      <w:szCs w:val="26"/>
    </w:rPr>
  </w:style>
  <w:style w:type="character" w:customStyle="1" w:styleId="CharChar6">
    <w:name w:val="Char Char6"/>
    <w:qFormat/>
    <w:rPr>
      <w:rFonts w:ascii="Calibri" w:eastAsia="Times New Roman" w:hAnsi="Calibri" w:cs="Times New Roman"/>
      <w:b/>
      <w:bCs/>
      <w:sz w:val="28"/>
      <w:szCs w:val="28"/>
    </w:rPr>
  </w:style>
  <w:style w:type="character" w:customStyle="1" w:styleId="CharChar">
    <w:name w:val="Char Char"/>
    <w:qFormat/>
    <w:rPr>
      <w:rFonts w:ascii="Arial" w:eastAsia="Arial" w:hAnsi="Arial" w:cs="Arial"/>
      <w:color w:val="000000"/>
      <w:lang w:val="en-GB"/>
    </w:rPr>
  </w:style>
  <w:style w:type="character" w:customStyle="1" w:styleId="FooterChar">
    <w:name w:val="Footer Char"/>
    <w:qFormat/>
    <w:rPr>
      <w:sz w:val="24"/>
      <w:szCs w:val="24"/>
    </w:rPr>
  </w:style>
  <w:style w:type="character" w:styleId="PageNumber">
    <w:name w:val="page number"/>
    <w:basedOn w:val="DefaultParagraphFont"/>
    <w:qFormat/>
  </w:style>
  <w:style w:type="character" w:styleId="UnresolvedMention">
    <w:name w:val="Unresolved Mention"/>
    <w:qFormat/>
    <w:rPr>
      <w:color w:val="808080"/>
      <w:shd w:val="clear" w:color="auto" w:fill="E6E6E6"/>
    </w:rPr>
  </w:style>
  <w:style w:type="character" w:customStyle="1" w:styleId="HeaderChar">
    <w:name w:val="Header Char"/>
    <w:qFormat/>
    <w:rPr>
      <w:sz w:val="24"/>
      <w:szCs w:val="24"/>
    </w:rPr>
  </w:style>
  <w:style w:type="character" w:customStyle="1" w:styleId="ListParagraphChar">
    <w:name w:val="List Paragraph Char"/>
    <w:qFormat/>
    <w:rPr>
      <w:sz w:val="24"/>
      <w:szCs w:val="24"/>
    </w:rPr>
  </w:style>
  <w:style w:type="character" w:customStyle="1" w:styleId="FollowedHyperlink1">
    <w:name w:val="FollowedHyperlink1"/>
    <w:rPr>
      <w:color w:val="800080"/>
      <w:u w:val="single"/>
    </w:rPr>
  </w:style>
  <w:style w:type="character" w:customStyle="1" w:styleId="FootnoteAnchor">
    <w:name w:val="Footnote Anchor"/>
    <w:rPr>
      <w:vertAlign w:val="superscript"/>
    </w:rPr>
  </w:style>
  <w:style w:type="character" w:customStyle="1" w:styleId="NumberingSymbols">
    <w:name w:val="Numbering Symbols"/>
    <w:qFormat/>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customStyle="1" w:styleId="EndnoteAnchor">
    <w:name w:val="Endnote Anchor"/>
    <w:rPr>
      <w:vertAlign w:val="superscript"/>
    </w:rPr>
  </w:style>
  <w:style w:type="character" w:customStyle="1" w:styleId="StrongEmphasis">
    <w:name w:val="Strong Emphasis"/>
    <w:qFormat/>
    <w:rPr>
      <w:b/>
      <w:bCs/>
    </w:rPr>
  </w:style>
  <w:style w:type="character" w:styleId="Hyperlink">
    <w:name w:val="Hyperlink"/>
    <w:rPr>
      <w:color w:val="000080"/>
      <w:u w:val="single"/>
      <w:lang/>
    </w:rPr>
  </w:style>
  <w:style w:type="paragraph" w:customStyle="1" w:styleId="Heading">
    <w:name w:val="Heading"/>
    <w:basedOn w:val="Standard"/>
    <w:next w:val="Textbody"/>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Textbody"/>
    <w:rPr>
      <w:rFonts w:cs="Lucida Sans"/>
    </w:rPr>
  </w:style>
  <w:style w:type="paragraph" w:styleId="Caption">
    <w:name w:val="caption"/>
    <w:basedOn w:val="Standard"/>
    <w:qFormat/>
    <w:pPr>
      <w:suppressLineNumbers/>
      <w:spacing w:before="120" w:after="120"/>
    </w:pPr>
    <w:rPr>
      <w:rFonts w:cs="Lucida Sans"/>
      <w:i/>
      <w:iCs/>
    </w:rPr>
  </w:style>
  <w:style w:type="paragraph" w:customStyle="1" w:styleId="Index">
    <w:name w:val="Index"/>
    <w:basedOn w:val="Standard"/>
    <w:qFormat/>
    <w:pPr>
      <w:suppressLineNumbers/>
    </w:pPr>
    <w:rPr>
      <w:rFonts w:cs="Lucida Sans"/>
    </w:rPr>
  </w:style>
  <w:style w:type="paragraph" w:customStyle="1" w:styleId="Standard">
    <w:name w:val="Standard"/>
    <w:qFormat/>
    <w:pPr>
      <w:textAlignment w:val="baseline"/>
    </w:pPr>
    <w:rPr>
      <w:rFonts w:ascii="Times New Roman" w:eastAsia="Times New Roman" w:hAnsi="Times New Roman" w:cs="Times New Roman"/>
      <w:lang w:bidi="ar-SA"/>
    </w:rPr>
  </w:style>
  <w:style w:type="paragraph" w:customStyle="1" w:styleId="Textbody">
    <w:name w:val="Text body"/>
    <w:basedOn w:val="Standard"/>
    <w:qFormat/>
    <w:pPr>
      <w:tabs>
        <w:tab w:val="left" w:pos="426"/>
      </w:tabs>
      <w:spacing w:before="60" w:after="60"/>
    </w:pPr>
    <w:rPr>
      <w:rFonts w:ascii="Arial" w:eastAsia="Arial" w:hAnsi="Arial" w:cs="Arial"/>
      <w:color w:val="000000"/>
      <w:sz w:val="20"/>
      <w:szCs w:val="20"/>
      <w:lang w:val="en-GB"/>
    </w:rPr>
  </w:style>
  <w:style w:type="paragraph" w:customStyle="1" w:styleId="HeaderandFooter">
    <w:name w:val="Header and Footer"/>
    <w:basedOn w:val="Normal"/>
    <w:qFormat/>
  </w:style>
  <w:style w:type="paragraph" w:styleId="Header">
    <w:name w:val="header"/>
    <w:basedOn w:val="Standard"/>
  </w:style>
  <w:style w:type="paragraph" w:styleId="Footer">
    <w:name w:val="footer"/>
    <w:basedOn w:val="Standard"/>
  </w:style>
  <w:style w:type="paragraph" w:styleId="BalloonText">
    <w:name w:val="Balloon Text"/>
    <w:basedOn w:val="Standard"/>
    <w:qFormat/>
    <w:rPr>
      <w:rFonts w:ascii="Tahoma" w:eastAsia="Tahoma" w:hAnsi="Tahoma" w:cs="Tahoma"/>
      <w:sz w:val="16"/>
      <w:szCs w:val="16"/>
    </w:rPr>
  </w:style>
  <w:style w:type="paragraph" w:customStyle="1" w:styleId="FootnoteText1">
    <w:name w:val="Footnote Text1"/>
    <w:basedOn w:val="Standard"/>
    <w:pPr>
      <w:widowControl w:val="0"/>
      <w:jc w:val="both"/>
    </w:pPr>
    <w:rPr>
      <w:spacing w:val="-2"/>
      <w:sz w:val="20"/>
      <w:szCs w:val="20"/>
    </w:rPr>
  </w:style>
  <w:style w:type="paragraph" w:styleId="ListParagraph">
    <w:name w:val="List Paragraph"/>
    <w:basedOn w:val="Standard"/>
    <w:qFormat/>
    <w:pPr>
      <w:ind w:left="720"/>
    </w:pPr>
  </w:style>
  <w:style w:type="paragraph" w:styleId="CommentText">
    <w:name w:val="annotation text"/>
    <w:basedOn w:val="Standard"/>
    <w:qFormat/>
    <w:rPr>
      <w:sz w:val="20"/>
      <w:szCs w:val="20"/>
    </w:rPr>
  </w:style>
  <w:style w:type="paragraph" w:styleId="CommentSubject">
    <w:name w:val="annotation subject"/>
    <w:basedOn w:val="CommentText"/>
    <w:next w:val="CommentText"/>
    <w:qFormat/>
    <w:rPr>
      <w:b/>
      <w:bCs/>
    </w:rPr>
  </w:style>
  <w:style w:type="paragraph" w:styleId="Revision">
    <w:name w:val="Revision"/>
    <w:qFormat/>
    <w:pPr>
      <w:textAlignment w:val="baseline"/>
    </w:pPr>
    <w:rPr>
      <w:rFonts w:ascii="Times New Roman" w:eastAsia="Times New Roman" w:hAnsi="Times New Roman" w:cs="Times New Roman"/>
      <w:lang w:bidi="ar-SA"/>
    </w:rPr>
  </w:style>
  <w:style w:type="paragraph" w:customStyle="1" w:styleId="Text1">
    <w:name w:val="Text 1"/>
    <w:basedOn w:val="Standard"/>
    <w:qFormat/>
    <w:pPr>
      <w:snapToGrid w:val="0"/>
      <w:spacing w:after="240"/>
      <w:ind w:left="482"/>
      <w:jc w:val="both"/>
    </w:pPr>
    <w:rPr>
      <w:szCs w:val="20"/>
      <w:lang w:val="en-GB"/>
    </w:rPr>
  </w:style>
  <w:style w:type="paragraph" w:customStyle="1" w:styleId="Clause">
    <w:name w:val="Clause"/>
    <w:basedOn w:val="Standard"/>
    <w:qFormat/>
    <w:pPr>
      <w:numPr>
        <w:numId w:val="1"/>
      </w:numPr>
      <w:snapToGrid w:val="0"/>
      <w:spacing w:after="240"/>
    </w:pPr>
    <w:rPr>
      <w:rFonts w:ascii="Arial" w:eastAsia="Arial" w:hAnsi="Arial" w:cs="Arial"/>
      <w:sz w:val="20"/>
      <w:szCs w:val="20"/>
      <w:lang w:val="en-GB"/>
    </w:rPr>
  </w:style>
  <w:style w:type="paragraph" w:customStyle="1" w:styleId="Char2">
    <w:name w:val="Char2"/>
    <w:basedOn w:val="Standard"/>
    <w:qFormat/>
    <w:pPr>
      <w:spacing w:after="160" w:line="240" w:lineRule="exact"/>
    </w:pPr>
    <w:rPr>
      <w:sz w:val="27"/>
      <w:szCs w:val="20"/>
      <w:vertAlign w:val="superscript"/>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Standard"/>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xhela.doku@tirana.al" TargetMode="External" /><Relationship Id="rId13"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header" Target="header2.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1.xm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hyperlink" Target="http://www.tirana.al/" TargetMode="External" /><Relationship Id="rId4" Type="http://schemas.openxmlformats.org/officeDocument/2006/relationships/webSettings" Target="webSettings.xml" /><Relationship Id="rId9" Type="http://schemas.openxmlformats.org/officeDocument/2006/relationships/hyperlink" Target="http://www.tirana.al/" TargetMode="External" /><Relationship Id="rId14"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3408</Words>
  <Characters>19428</Characters>
  <Application>Microsoft Office Word</Application>
  <DocSecurity>0</DocSecurity>
  <Lines>161</Lines>
  <Paragraphs>45</Paragraphs>
  <ScaleCrop>false</ScaleCrop>
  <Company/>
  <LinksUpToDate>false</LinksUpToDate>
  <CharactersWithSpaces>22791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Criterias for the selection of municipalities</dc:title>
  <dc:subject/>
  <dc:creator>LOD Project</dc:creator>
  <dc:description/>
  <cp:lastModifiedBy>Anxhela Doku</cp:lastModifiedBy>
  <cp:revision>3</cp:revision>
  <cp:lastPrinted>2019-01-07T13:16:00Z</cp:lastPrinted>
  <dcterms:created xsi:type="dcterms:W3CDTF">2024-02-21T15:12:00Z</dcterms:created>
  <dcterms:modified xsi:type="dcterms:W3CDTF">2024-02-21T15:12:00Z</dcterms:modified>
  <dc:language>en-US</dc:language>
</cp:coreProperties>
</file>