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291" w:rsidRDefault="00606EBA">
      <w:pPr>
        <w:pStyle w:val="Pandarjemehapsira1"/>
        <w:rPr>
          <w:rFonts w:hint="eastAsi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-171450</wp:posOffset>
            </wp:positionV>
            <wp:extent cx="1139825" cy="11341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51" t="-765" r="-851" b="-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291" w:rsidRDefault="00723291">
      <w:pPr>
        <w:spacing w:line="276" w:lineRule="auto"/>
        <w:rPr>
          <w:b/>
          <w:highlight w:val="white"/>
          <w:lang w:val="sq-AL" w:eastAsia="it-IT"/>
        </w:rPr>
      </w:pPr>
    </w:p>
    <w:p w:rsidR="00723291" w:rsidRDefault="00723291">
      <w:pPr>
        <w:spacing w:line="276" w:lineRule="auto"/>
        <w:jc w:val="center"/>
        <w:rPr>
          <w:b/>
          <w:highlight w:val="white"/>
          <w:lang w:val="sq-AL" w:eastAsia="it-IT"/>
        </w:rPr>
      </w:pPr>
    </w:p>
    <w:p w:rsidR="00723291" w:rsidRDefault="00723291">
      <w:pPr>
        <w:spacing w:line="276" w:lineRule="auto"/>
        <w:jc w:val="center"/>
        <w:rPr>
          <w:b/>
          <w:highlight w:val="white"/>
          <w:lang w:val="sq-AL" w:eastAsia="it-IT"/>
        </w:rPr>
      </w:pPr>
    </w:p>
    <w:p w:rsidR="00723291" w:rsidRDefault="00606EBA">
      <w:pPr>
        <w:jc w:val="center"/>
        <w:rPr>
          <w:b/>
          <w:highlight w:val="white"/>
          <w:lang w:val="sq-AL" w:eastAsia="it-IT"/>
        </w:rPr>
      </w:pPr>
      <w:r>
        <w:rPr>
          <w:b/>
          <w:noProof/>
          <w:highlight w:val="white"/>
          <w:lang w:val="en-US" w:eastAsia="en-US"/>
        </w:rPr>
        <mc:AlternateContent>
          <mc:Choice Requires="wps">
            <w:drawing>
              <wp:anchor distT="0" distB="0" distL="114935" distR="114935" simplePos="0" relativeHeight="3" behindDoc="1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126365</wp:posOffset>
                </wp:positionV>
                <wp:extent cx="2458085" cy="3175"/>
                <wp:effectExtent l="0" t="0" r="0" b="0"/>
                <wp:wrapNone/>
                <wp:docPr id="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73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" y="1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C0C826" id="Straight Arrow Connector 4" o:spid="_x0000_s1026" style="position:absolute;margin-left:270.75pt;margin-top:9.95pt;width:193.55pt;height:.25pt;flip:y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" path="m1,1l21600,21600e" filled="f" strokeweight=".35mm">
                <v:path arrowok="t"/>
              </v:shape>
            </w:pict>
          </mc:Fallback>
        </mc:AlternateContent>
      </w:r>
      <w:r>
        <w:rPr>
          <w:b/>
          <w:noProof/>
          <w:highlight w:val="white"/>
          <w:lang w:val="en-US" w:eastAsia="en-US"/>
        </w:rPr>
        <mc:AlternateContent>
          <mc:Choice Requires="wps">
            <w:drawing>
              <wp:anchor distT="0" distB="0" distL="114935" distR="114935" simplePos="0" relativeHeight="4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128270</wp:posOffset>
                </wp:positionV>
                <wp:extent cx="2400935" cy="762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" y="1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88BC34" id="Straight Arrow Connector 3" o:spid="_x0000_s1026" style="position:absolute;margin-left:10.5pt;margin-top:10.1pt;width:189.05pt;height:.6pt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" path="m1,1l21600,21600e" filled="f" strokeweight=".35mm">
                <v:path arrowok="t"/>
              </v:shape>
            </w:pict>
          </mc:Fallback>
        </mc:AlternateContent>
      </w:r>
    </w:p>
    <w:p w:rsidR="00723291" w:rsidRDefault="00606EBA">
      <w:pPr>
        <w:jc w:val="center"/>
      </w:pPr>
      <w:r>
        <w:rPr>
          <w:rStyle w:val="Fontiiparagrafittparazgjedhur1"/>
          <w:b/>
          <w:sz w:val="20"/>
          <w:szCs w:val="20"/>
          <w:highlight w:val="white"/>
          <w:lang w:val="sq-AL"/>
        </w:rPr>
        <w:t>R  E P U  B  L  I  K  A    E    S  H  Q  I  P  Ë  R  I  S  Ë</w:t>
      </w:r>
    </w:p>
    <w:p w:rsidR="00723291" w:rsidRDefault="00606EBA">
      <w:pPr>
        <w:pStyle w:val="Pandarjemehapsira1"/>
        <w:jc w:val="center"/>
        <w:rPr>
          <w:rFonts w:hint="eastAsia"/>
        </w:rPr>
      </w:pPr>
      <w:r>
        <w:rPr>
          <w:rStyle w:val="Fontiiparagrafittparazgjedhur1"/>
          <w:rFonts w:ascii="Times New Roman" w:hAnsi="Times New Roman" w:cs="Times New Roman"/>
          <w:b/>
          <w:highlight w:val="white"/>
        </w:rPr>
        <w:t>KËSHILLI BASHKIAK</w:t>
      </w:r>
    </w:p>
    <w:p w:rsidR="00723291" w:rsidRDefault="00723291">
      <w:pPr>
        <w:pStyle w:val="Pandarjemehapsira1"/>
        <w:rPr>
          <w:rFonts w:ascii="Times New Roman" w:hAnsi="Times New Roman" w:cs="Times New Roman"/>
          <w:b/>
          <w:highlight w:val="white"/>
        </w:rPr>
      </w:pPr>
    </w:p>
    <w:p w:rsidR="00723291" w:rsidRDefault="00606EBA">
      <w:pPr>
        <w:pStyle w:val="Pandarjemehapsira1"/>
        <w:jc w:val="center"/>
        <w:rPr>
          <w:rFonts w:hint="eastAsia"/>
        </w:rPr>
      </w:pPr>
      <w:r>
        <w:rPr>
          <w:rStyle w:val="Fontiiparagrafittparazgjedhur1"/>
          <w:rFonts w:ascii="Times New Roman" w:hAnsi="Times New Roman" w:cs="Times New Roman"/>
          <w:b/>
          <w:highlight w:val="white"/>
        </w:rPr>
        <w:t>V</w:t>
      </w:r>
      <w:r w:rsidR="00F4199A">
        <w:rPr>
          <w:rStyle w:val="Fontiiparagrafittparazgjedhur1"/>
          <w:rFonts w:ascii="Times New Roman" w:hAnsi="Times New Roman" w:cs="Times New Roman"/>
          <w:b/>
          <w:highlight w:val="white"/>
        </w:rPr>
        <w:t xml:space="preserve"> </w:t>
      </w:r>
      <w:r>
        <w:rPr>
          <w:rStyle w:val="Fontiiparagrafittparazgjedhur1"/>
          <w:rFonts w:ascii="Times New Roman" w:hAnsi="Times New Roman" w:cs="Times New Roman"/>
          <w:b/>
          <w:highlight w:val="white"/>
        </w:rPr>
        <w:t>E</w:t>
      </w:r>
      <w:r w:rsidR="00F4199A">
        <w:rPr>
          <w:rStyle w:val="Fontiiparagrafittparazgjedhur1"/>
          <w:rFonts w:ascii="Times New Roman" w:hAnsi="Times New Roman" w:cs="Times New Roman"/>
          <w:b/>
          <w:highlight w:val="white"/>
        </w:rPr>
        <w:t xml:space="preserve"> </w:t>
      </w:r>
      <w:r>
        <w:rPr>
          <w:rStyle w:val="Fontiiparagrafittparazgjedhur1"/>
          <w:rFonts w:ascii="Times New Roman" w:hAnsi="Times New Roman" w:cs="Times New Roman"/>
          <w:b/>
          <w:highlight w:val="white"/>
        </w:rPr>
        <w:t>N</w:t>
      </w:r>
      <w:r w:rsidR="00F4199A">
        <w:rPr>
          <w:rStyle w:val="Fontiiparagrafittparazgjedhur1"/>
          <w:rFonts w:ascii="Times New Roman" w:hAnsi="Times New Roman" w:cs="Times New Roman"/>
          <w:b/>
          <w:highlight w:val="white"/>
        </w:rPr>
        <w:t xml:space="preserve"> </w:t>
      </w:r>
      <w:r>
        <w:rPr>
          <w:rStyle w:val="Fontiiparagrafittparazgjedhur1"/>
          <w:rFonts w:ascii="Times New Roman" w:hAnsi="Times New Roman" w:cs="Times New Roman"/>
          <w:b/>
          <w:highlight w:val="white"/>
        </w:rPr>
        <w:t>D</w:t>
      </w:r>
      <w:r w:rsidR="00F4199A">
        <w:rPr>
          <w:rStyle w:val="Fontiiparagrafittparazgjedhur1"/>
          <w:rFonts w:ascii="Times New Roman" w:hAnsi="Times New Roman" w:cs="Times New Roman"/>
          <w:b/>
          <w:highlight w:val="white"/>
        </w:rPr>
        <w:t xml:space="preserve"> </w:t>
      </w:r>
      <w:r>
        <w:rPr>
          <w:rStyle w:val="Fontiiparagrafittparazgjedhur1"/>
          <w:rFonts w:ascii="Times New Roman" w:hAnsi="Times New Roman" w:cs="Times New Roman"/>
          <w:b/>
          <w:highlight w:val="white"/>
        </w:rPr>
        <w:t>I</w:t>
      </w:r>
      <w:r w:rsidR="00F4199A">
        <w:rPr>
          <w:rStyle w:val="Fontiiparagrafittparazgjedhur1"/>
          <w:rFonts w:ascii="Times New Roman" w:hAnsi="Times New Roman" w:cs="Times New Roman"/>
          <w:b/>
          <w:highlight w:val="white"/>
        </w:rPr>
        <w:t xml:space="preserve"> </w:t>
      </w:r>
      <w:r>
        <w:rPr>
          <w:rStyle w:val="Fontiiparagrafittparazgjedhur1"/>
          <w:rFonts w:ascii="Times New Roman" w:hAnsi="Times New Roman" w:cs="Times New Roman"/>
          <w:b/>
          <w:highlight w:val="white"/>
        </w:rPr>
        <w:t>M</w:t>
      </w:r>
    </w:p>
    <w:p w:rsidR="00723291" w:rsidRDefault="00606EBA" w:rsidP="00F4199A">
      <w:pPr>
        <w:pStyle w:val="Pandarjemehapsira1"/>
        <w:spacing w:before="240" w:after="60"/>
        <w:jc w:val="center"/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  <w:r w:rsidR="00F4199A">
        <w:rPr>
          <w:rFonts w:ascii="Times New Roman" w:hAnsi="Times New Roman" w:cs="Times New Roman"/>
          <w:highlight w:val="white"/>
        </w:rPr>
        <w:t>Nr.</w:t>
      </w:r>
      <w:r w:rsidR="00F4199A">
        <w:rPr>
          <w:rFonts w:ascii="Times New Roman" w:hAnsi="Times New Roman" w:cs="Times New Roman"/>
          <w:highlight w:val="white"/>
        </w:rPr>
        <w:softHyphen/>
      </w:r>
      <w:r w:rsidR="00F4199A">
        <w:rPr>
          <w:rFonts w:ascii="Times New Roman" w:hAnsi="Times New Roman" w:cs="Times New Roman"/>
          <w:highlight w:val="white"/>
        </w:rPr>
        <w:softHyphen/>
      </w:r>
      <w:r w:rsidR="00F4199A">
        <w:rPr>
          <w:rFonts w:ascii="Times New Roman" w:hAnsi="Times New Roman" w:cs="Times New Roman"/>
          <w:highlight w:val="white"/>
        </w:rPr>
        <w:softHyphen/>
      </w:r>
      <w:r w:rsidR="00F4199A">
        <w:rPr>
          <w:rFonts w:ascii="Times New Roman" w:hAnsi="Times New Roman" w:cs="Times New Roman"/>
          <w:highlight w:val="white"/>
        </w:rPr>
        <w:softHyphen/>
      </w:r>
      <w:r w:rsidR="00F4199A">
        <w:rPr>
          <w:rFonts w:ascii="Times New Roman" w:hAnsi="Times New Roman" w:cs="Times New Roman"/>
          <w:highlight w:val="white"/>
        </w:rPr>
        <w:softHyphen/>
        <w:t>119 , datë 25.10.</w:t>
      </w:r>
      <w:r>
        <w:rPr>
          <w:rFonts w:ascii="Times New Roman" w:hAnsi="Times New Roman" w:cs="Times New Roman"/>
          <w:highlight w:val="white"/>
        </w:rPr>
        <w:t>2019</w:t>
      </w:r>
    </w:p>
    <w:p w:rsidR="00F4199A" w:rsidRPr="00F4199A" w:rsidRDefault="00F4199A" w:rsidP="00F4199A">
      <w:pPr>
        <w:pStyle w:val="Pandarjemehapsira1"/>
        <w:spacing w:before="240" w:after="60"/>
        <w:jc w:val="center"/>
      </w:pPr>
    </w:p>
    <w:p w:rsidR="00723291" w:rsidRDefault="00606EBA">
      <w:pPr>
        <w:jc w:val="center"/>
        <w:rPr>
          <w:b/>
          <w:lang w:val="sq-AL"/>
        </w:rPr>
      </w:pPr>
      <w:r>
        <w:rPr>
          <w:b/>
          <w:lang w:val="sq-AL"/>
        </w:rPr>
        <w:t>“PËR</w:t>
      </w:r>
    </w:p>
    <w:p w:rsidR="00723291" w:rsidRDefault="00606E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DISA NDRYSHIME NË VENDIMIN NR. 39, DATË 23.05.2016,  TË KËSHILLIT BASHKIAK “PËR PËRCAKTIMIN E LINJAVE TË TRANSPORTIT QYTETËS DHE RRETHQYTETËS TË UDHËTARËVE NË BASHKINË E TIRANËS, MËNYRËN E ORGANIZIMIT TË SHËRBIMIT DHE PËRCAKTIMINE STACIONEVE TË QËNDRIMIT TË AUTOBUSËVE TË SHËRBIMIT NË KËTO LINJA, TË NDRYSHUAR””</w:t>
      </w:r>
    </w:p>
    <w:p w:rsidR="00723291" w:rsidRDefault="00723291">
      <w:pPr>
        <w:jc w:val="both"/>
        <w:rPr>
          <w:b/>
          <w:lang w:val="sq-AL"/>
        </w:rPr>
      </w:pPr>
    </w:p>
    <w:p w:rsidR="00723291" w:rsidRDefault="00606EBA">
      <w:pPr>
        <w:pStyle w:val="NoSpacing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mbështetje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en-GB"/>
        </w:rPr>
        <w:t>të nenit 8, pika 2, nenit 9, pika 1, nënpika 1.1, shkronjat “a” dhe “b”, nenit 23, pika 6, nenit 54, shkronja “k”, nenit 55, pikat 2 dhe 6, të ligjit nr. 139/2015 “Për vetëqeverisjen vendore”, të ndryshuar; nenit 113, të ligjit nr. 44/2015, “Kodi i Procedurave Administrative i Republikës së Shqipërisë”; ligjit nr. 8378, datë 22.07.1998 “Kodi Rrugor i Republikës së Shqipërisë” të ndryshuar; neneve 13, 14, 15, 17 dhe 19 të ligjit nr. 8308, datë 18.03.1998 “Për transportet rrugore” të ndryshuar; udhëzimit nr.5627, datë 18.11.2016 të ministrit të Transportit dhe Infrastrukturës “Për përcaktimin e kritereve, rregullave dhe dokumentacionit për lëshimit të licencave dhe çertifikatave për ushtrimin e veprimtarisë në transportin rrugor të udhëtarëve brenda vendit” të ndryshuar,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3291" w:rsidRDefault="00606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3291" w:rsidRPr="00F4199A" w:rsidRDefault="00606EBA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19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199A">
        <w:rPr>
          <w:rFonts w:ascii="Times New Roman" w:hAnsi="Times New Roman" w:cs="Times New Roman"/>
          <w:bCs/>
          <w:sz w:val="24"/>
          <w:szCs w:val="24"/>
        </w:rPr>
        <w:t>KËSHILLI BASHKIAK</w:t>
      </w:r>
    </w:p>
    <w:p w:rsidR="00723291" w:rsidRPr="00F4199A" w:rsidRDefault="00606EB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199A">
        <w:rPr>
          <w:rFonts w:ascii="Times New Roman" w:hAnsi="Times New Roman" w:cs="Times New Roman"/>
          <w:bCs/>
          <w:sz w:val="24"/>
          <w:szCs w:val="24"/>
        </w:rPr>
        <w:t>V E N D O S I:</w:t>
      </w:r>
    </w:p>
    <w:p w:rsidR="00723291" w:rsidRPr="00F4199A" w:rsidRDefault="00723291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3291" w:rsidRDefault="0072329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291" w:rsidRDefault="00606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23.05.2016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rrethqytetës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udhëtarëve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qëndrimit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199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proofErr w:type="gramStart"/>
      <w:r w:rsidR="00F419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419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23291" w:rsidRDefault="00723291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</w:pPr>
    </w:p>
    <w:p w:rsidR="00723291" w:rsidRDefault="00606EBA">
      <w:pPr>
        <w:pStyle w:val="NoSpacing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en-GB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en-GB"/>
        </w:rPr>
        <w:t>Në pikën 1.1, në rrjetin e linjave qytetëse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, në Linjën Nr. 16 “Linja e Gjelbërt”, bëhen ndryshimet si më poshtë:</w:t>
      </w:r>
    </w:p>
    <w:p w:rsidR="00723291" w:rsidRDefault="007232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3291" w:rsidRDefault="00606EB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Linjën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16/A,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stacionet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11 – 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stacionet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22 – 30,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ndryshohen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3291" w:rsidRDefault="00723291">
      <w:pPr>
        <w:pStyle w:val="NoSpacing"/>
        <w:jc w:val="both"/>
      </w:pPr>
    </w:p>
    <w:p w:rsidR="00723291" w:rsidRDefault="00606EB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A.</w:t>
      </w:r>
    </w:p>
    <w:p w:rsidR="00723291" w:rsidRDefault="00606EB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Stacioni Nr. 11 në Rrugën “Asim Vokshi”, 90 metra pas Kryqëzimit me  Rrugën “Mine Peza”.</w:t>
      </w:r>
    </w:p>
    <w:p w:rsidR="00723291" w:rsidRDefault="00606EBA">
      <w:pPr>
        <w:ind w:left="1350" w:hanging="1350"/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12 është në Rrugën “Asim Vokshi”, 40 metra para Kryqëzimit me Rrugën “Jordan Misja”.</w:t>
      </w:r>
    </w:p>
    <w:p w:rsidR="00723291" w:rsidRDefault="00606EBA">
      <w:pPr>
        <w:ind w:left="1440" w:hanging="1440"/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13 është në Rrugën“Reshit Petrela”, 20 metra pas Kryqëzimit me Blv. “Zogu I” 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lastRenderedPageBreak/>
        <w:t>Stacioni Nr. 14 është 30 metra para kryqëzimit të Rrugës “Ferit Xhajko” me  Rrugën "Siri Kodra".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15 është në Rrugën “Ferit Xhajko”, 30 metra pas Kryqëzimit me  Rrugën “5 Maji”.</w:t>
      </w:r>
    </w:p>
    <w:p w:rsidR="00723291" w:rsidRDefault="00723291">
      <w:pPr>
        <w:ind w:left="1440" w:hanging="1440"/>
        <w:jc w:val="both"/>
        <w:rPr>
          <w:i/>
          <w:iCs/>
        </w:rPr>
      </w:pPr>
    </w:p>
    <w:p w:rsidR="00723291" w:rsidRDefault="00606EBA">
      <w:pPr>
        <w:ind w:left="1440" w:hanging="1440"/>
        <w:jc w:val="both"/>
        <w:rPr>
          <w:b/>
          <w:bCs/>
          <w:lang w:val="sq-AL"/>
        </w:rPr>
      </w:pPr>
      <w:r>
        <w:rPr>
          <w:b/>
          <w:bCs/>
          <w:lang w:val="sq-AL"/>
        </w:rPr>
        <w:t xml:space="preserve">B. </w:t>
      </w:r>
    </w:p>
    <w:p w:rsidR="00723291" w:rsidRDefault="00606EBA">
      <w:pPr>
        <w:ind w:left="1440" w:hanging="1440"/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22 është para kryqëzimit të Rrugës “Kongresi i Manastirit” me  Rrugën “Bardhyl”.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23 është në  Rrugën “Bardhyl”, 20 metra para Kryqëzimit me Rrugën “Qemal Stafa”.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24 është në Rrugën “Arkitekt Kasemi”, 30 metra para Kryqëzimit me Blv. “Zhan Dark”.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25 është në Blv. “Zhan Dark”, 80 metra para Godinës së Qëndrës Kombëtrae të Biznesit.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26 është në Blv. “Zhan Dark”, përballë Ministrisë së Mjedisit..</w:t>
      </w:r>
    </w:p>
    <w:p w:rsidR="00723291" w:rsidRDefault="00606EBA">
      <w:pPr>
        <w:ind w:left="1530" w:hanging="1530"/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27 është në Blv. “Zhan Dark”, pas Xhamis së Namasgjasë (Xhamia e Re).</w:t>
      </w:r>
    </w:p>
    <w:p w:rsidR="00723291" w:rsidRDefault="00606EBA">
      <w:pPr>
        <w:ind w:left="1620" w:hanging="1620"/>
        <w:jc w:val="both"/>
        <w:rPr>
          <w:i/>
          <w:iCs/>
          <w:lang w:val="sq-AL"/>
        </w:rPr>
      </w:pPr>
      <w:r>
        <w:rPr>
          <w:i/>
          <w:iCs/>
          <w:lang w:val="sq-AL"/>
        </w:rPr>
        <w:t xml:space="preserve">Stacioni Nr. 28 është në Blv. “Gjergj Fishta”, 30 metra pas Kryqëzimit me Blv. Dëshmorët e Kombit. 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 xml:space="preserve">Stacioni Nr. 29 është në Blv. “Gjergj Fishta”, para kryqëzimit me Rrugën “Sami Frashëri”. 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30 është në Blv. “Gjergj Fishta”, 70 metra  para kryqëzimit me Rrugën “Muhamet Gjollesha”.”</w:t>
      </w:r>
    </w:p>
    <w:p w:rsidR="00723291" w:rsidRDefault="00606EB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Linjën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16/B,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Antiorar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stacionet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4 – 13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stacionet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20 – 24,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ndryshohen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3291" w:rsidRDefault="00723291">
      <w:pPr>
        <w:pStyle w:val="NoSpacing"/>
        <w:jc w:val="both"/>
        <w:rPr>
          <w:b/>
          <w:bCs/>
          <w:sz w:val="14"/>
          <w:szCs w:val="14"/>
        </w:rPr>
      </w:pPr>
    </w:p>
    <w:p w:rsidR="00723291" w:rsidRDefault="00606EBA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>A.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4 është në Blv. “Bajram Curri”, 50 metra pas Urës “Vasil Shanto”.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5 është në Blv. “Bajram Curri”, pas Kryqëzimit me Rrugën “Gjin Bue Shpata”.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6 është në Blv. “Bajram Curri”, 30 metra para Kryqëzimit me Rrugën “Vaso Pasha”.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 xml:space="preserve">Stacioni Nr. 7 është në Blv. “Bajram Curri”, para Kryqëzimit me Rrugën “Donika Kastrioti”. </w:t>
      </w:r>
    </w:p>
    <w:p w:rsidR="00723291" w:rsidRDefault="00606EBA">
      <w:pPr>
        <w:ind w:left="1620" w:hanging="1620"/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8 është  Blv. “Bajram Curri” 30 metra  pas Kryqëzimit me Rrugën “E Elbasanit”.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9 është në Blv. “Bajram Curri”, para Kryqëzimit me Rrugën “Ali Demi”.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10 është në Blv. “Bajram Curri”, para kryqëzimit me Rrugën “Asdreni”.</w:t>
      </w:r>
    </w:p>
    <w:p w:rsidR="00723291" w:rsidRDefault="00606EBA">
      <w:pPr>
        <w:ind w:left="1530" w:hanging="1530"/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11 është në Rrugën “Arkitekt Kasemi”, 90 metra pas Kryqëzimi me Blv. Zhan Dark.</w:t>
      </w:r>
    </w:p>
    <w:p w:rsidR="00723291" w:rsidRDefault="00606EBA">
      <w:pPr>
        <w:ind w:left="1530" w:hanging="1530"/>
        <w:jc w:val="both"/>
        <w:rPr>
          <w:i/>
          <w:iCs/>
          <w:lang w:val="sq-AL"/>
        </w:rPr>
      </w:pPr>
      <w:r>
        <w:rPr>
          <w:i/>
          <w:iCs/>
          <w:lang w:val="sq-AL"/>
        </w:rPr>
        <w:t xml:space="preserve">Stacioni Nr. 12 ështëntë Rrugësn“Bardhyl”, pas Kryqëzimit me Rrugën  “Odhise Paskali”. </w:t>
      </w:r>
    </w:p>
    <w:p w:rsidR="00723291" w:rsidRDefault="00606EBA">
      <w:pPr>
        <w:ind w:left="1530" w:hanging="1530"/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13 është në Rrugën “Kongresi i Manastirit”, 70 metra pas kryqëzimit me Rrugën “Bardhyl”.</w:t>
      </w:r>
    </w:p>
    <w:p w:rsidR="00723291" w:rsidRDefault="00606EBA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 xml:space="preserve">B. 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20 është në Rrugën“Ferit Xhajko” para Kryqëzimit me Rrugën “5 Maji”.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21 në  Rrugës “Ferit Xhajko”, 80 metra para Kryqëzimit me Rrugën "Siri Kodra".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22 është Rrugën “Reshit Petrela”, 110 metra pas kryqëzimit të Bulevardit të Ri.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23 është në Rrugën “Asim Vokshi”, para Kryqëzimit me Rrugën “Panorama”.</w:t>
      </w:r>
    </w:p>
    <w:p w:rsidR="00723291" w:rsidRDefault="00606EBA">
      <w:pPr>
        <w:jc w:val="both"/>
        <w:rPr>
          <w:i/>
          <w:iCs/>
          <w:lang w:val="sq-AL"/>
        </w:rPr>
      </w:pPr>
      <w:r>
        <w:rPr>
          <w:i/>
          <w:iCs/>
          <w:lang w:val="sq-AL"/>
        </w:rPr>
        <w:t>Stacioni Nr. 24 është në Rrugën “Asim Vokshi”, 70 metra përpara kryqëzimit me Rrugën “Don Bosko”.</w:t>
      </w:r>
    </w:p>
    <w:p w:rsidR="00723291" w:rsidRDefault="00606EBA">
      <w:pPr>
        <w:pStyle w:val="NoSpacing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Ngarkohen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Punëtorëve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3291" w:rsidRDefault="00723291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723291" w:rsidRDefault="00606E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 w:eastAsia="sq-AL"/>
        </w:rPr>
      </w:pPr>
      <w:r>
        <w:rPr>
          <w:rFonts w:ascii="Times New Roman" w:hAnsi="Times New Roman" w:cs="Times New Roman"/>
          <w:sz w:val="24"/>
          <w:szCs w:val="24"/>
          <w:lang w:val="pt-BR" w:eastAsia="sq-AL"/>
        </w:rPr>
        <w:t>Ky vendim hyn në fuqi sipas përcaktimeve të pikës 6 të nenit 55 të ligjit nr. 139/2015 “Për vetëqeverisjen vendore”, të ndryshuar dhe pas konfirmimit ligjor nga Institucioni i Prefektit të Qarkut, Tiranë.</w:t>
      </w:r>
    </w:p>
    <w:p w:rsidR="00F4199A" w:rsidRDefault="00F419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 w:eastAsia="sq-AL"/>
        </w:rPr>
      </w:pPr>
    </w:p>
    <w:p w:rsidR="00723291" w:rsidRDefault="0072329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23291" w:rsidRPr="00F4199A" w:rsidRDefault="00F4199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4199A"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Ë</w:t>
      </w:r>
      <w:r w:rsidRPr="00F4199A">
        <w:rPr>
          <w:rFonts w:ascii="Times New Roman" w:hAnsi="Times New Roman" w:cs="Times New Roman"/>
          <w:sz w:val="24"/>
        </w:rPr>
        <w:t xml:space="preserve"> N K R</w:t>
      </w:r>
      <w:r>
        <w:rPr>
          <w:rFonts w:ascii="Times New Roman" w:hAnsi="Times New Roman" w:cs="Times New Roman"/>
          <w:sz w:val="24"/>
        </w:rPr>
        <w:t xml:space="preserve"> </w:t>
      </w:r>
      <w:r w:rsidRPr="00F4199A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</w:t>
      </w:r>
      <w:r w:rsidRPr="00F4199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Pr="00F4199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r w:rsidRPr="00F4199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F4199A">
        <w:rPr>
          <w:rFonts w:ascii="Times New Roman" w:hAnsi="Times New Roman" w:cs="Times New Roman"/>
          <w:sz w:val="24"/>
        </w:rPr>
        <w:t>R</w:t>
      </w:r>
    </w:p>
    <w:p w:rsidR="00F4199A" w:rsidRDefault="00F4199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23291" w:rsidRDefault="00F4199A" w:rsidP="00F4199A">
      <w:pPr>
        <w:pStyle w:val="NoSpacing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                                                             VJOLLCA BRAHO</w:t>
      </w:r>
      <w:r w:rsidR="00606EBA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F4199A" w:rsidRPr="00F4199A" w:rsidRDefault="00F4199A" w:rsidP="00F4199A">
      <w:pPr>
        <w:pStyle w:val="NoSpacing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sq-AL"/>
        </w:rPr>
      </w:pPr>
      <w:bookmarkStart w:id="0" w:name="_GoBack"/>
      <w:bookmarkEnd w:id="0"/>
    </w:p>
    <w:sectPr w:rsidR="00F4199A" w:rsidRPr="00F4199A">
      <w:footerReference w:type="default" r:id="rId8"/>
      <w:pgSz w:w="12240" w:h="15840"/>
      <w:pgMar w:top="960" w:right="1350" w:bottom="1020" w:left="1350" w:header="0" w:footer="3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73" w:rsidRDefault="00CE4573">
      <w:r>
        <w:separator/>
      </w:r>
    </w:p>
  </w:endnote>
  <w:endnote w:type="continuationSeparator" w:id="0">
    <w:p w:rsidR="00CE4573" w:rsidRDefault="00CE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;ＭＳ ゴシック"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S Mincho;Yu Gothic UI">
    <w:panose1 w:val="00000000000000000000"/>
    <w:charset w:val="00"/>
    <w:family w:val="roman"/>
    <w:notTrueType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91" w:rsidRDefault="00723291">
    <w:pPr>
      <w:pStyle w:val="Footer"/>
      <w:jc w:val="right"/>
    </w:pPr>
  </w:p>
  <w:p w:rsidR="00723291" w:rsidRDefault="00723291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73" w:rsidRDefault="00CE4573">
      <w:r>
        <w:separator/>
      </w:r>
    </w:p>
  </w:footnote>
  <w:footnote w:type="continuationSeparator" w:id="0">
    <w:p w:rsidR="00CE4573" w:rsidRDefault="00CE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B66E7"/>
    <w:multiLevelType w:val="multilevel"/>
    <w:tmpl w:val="DAB26B5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91"/>
    <w:rsid w:val="00235F31"/>
    <w:rsid w:val="002D6B0D"/>
    <w:rsid w:val="00362803"/>
    <w:rsid w:val="00606EBA"/>
    <w:rsid w:val="00685051"/>
    <w:rsid w:val="00723291"/>
    <w:rsid w:val="008D2709"/>
    <w:rsid w:val="00976E92"/>
    <w:rsid w:val="00AD290B"/>
    <w:rsid w:val="00CE4573"/>
    <w:rsid w:val="00F4199A"/>
    <w:rsid w:val="00F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18D07-C341-4184-803E-F80DB2B7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4"/>
      <w:szCs w:val="24"/>
      <w:lang w:val="sq-AL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sz w:val="24"/>
      <w:szCs w:val="24"/>
      <w:lang w:val="sq-A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  <w:lang w:val="sq-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b w:val="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b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MS Mincho;ＭＳ 明朝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b/>
      <w:i w:val="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yshortcuts">
    <w:name w:val="yshortcuts"/>
    <w:basedOn w:val="DefaultParagraphFont"/>
    <w:qFormat/>
  </w:style>
  <w:style w:type="character" w:customStyle="1" w:styleId="HeaderChar">
    <w:name w:val="Header Char"/>
    <w:qFormat/>
    <w:rPr>
      <w:sz w:val="24"/>
      <w:szCs w:val="24"/>
      <w:lang w:val="en-GB"/>
    </w:rPr>
  </w:style>
  <w:style w:type="character" w:customStyle="1" w:styleId="FooterChar">
    <w:name w:val="Footer Char"/>
    <w:qFormat/>
    <w:rPr>
      <w:sz w:val="24"/>
      <w:szCs w:val="24"/>
      <w:lang w:val="en-GB"/>
    </w:rPr>
  </w:style>
  <w:style w:type="character" w:customStyle="1" w:styleId="BodyText2Char">
    <w:name w:val="Body Text 2 Char"/>
    <w:qFormat/>
    <w:rPr>
      <w:sz w:val="24"/>
      <w:szCs w:val="24"/>
      <w:lang w:val="en-GB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GB"/>
    </w:rPr>
  </w:style>
  <w:style w:type="character" w:customStyle="1" w:styleId="CommentSubjectChar">
    <w:name w:val="Comment Subject Char"/>
    <w:qFormat/>
    <w:rPr>
      <w:b/>
      <w:bCs/>
      <w:lang w:val="en-GB"/>
    </w:rPr>
  </w:style>
  <w:style w:type="character" w:customStyle="1" w:styleId="NoSpacingChar">
    <w:name w:val="No Spacing Char"/>
    <w:qFormat/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ListParagraphChar">
    <w:name w:val="List Paragraph Char"/>
    <w:qFormat/>
    <w:rPr>
      <w:rFonts w:eastAsia="MS Mincho;ＭＳ 明朝"/>
      <w:sz w:val="24"/>
      <w:szCs w:val="24"/>
    </w:rPr>
  </w:style>
  <w:style w:type="character" w:customStyle="1" w:styleId="Heading1Char">
    <w:name w:val="Heading 1 Char"/>
    <w:qFormat/>
    <w:rPr>
      <w:b/>
      <w:bCs/>
      <w:sz w:val="24"/>
      <w:szCs w:val="24"/>
      <w:lang w:val="en-GB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6"/>
      <w:szCs w:val="26"/>
      <w:lang w:val="en-GB"/>
    </w:rPr>
  </w:style>
  <w:style w:type="character" w:customStyle="1" w:styleId="BodyText3Char">
    <w:name w:val="Body Text 3 Char"/>
    <w:qFormat/>
    <w:rPr>
      <w:rFonts w:eastAsia="MS Mincho;ＭＳ 明朝"/>
      <w:sz w:val="16"/>
      <w:szCs w:val="16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qFormat/>
    <w:rPr>
      <w:sz w:val="24"/>
      <w:szCs w:val="24"/>
      <w:lang w:val="en-GB"/>
    </w:rPr>
  </w:style>
  <w:style w:type="character" w:customStyle="1" w:styleId="TextMain">
    <w:name w:val="Text Main (文字)"/>
    <w:qFormat/>
    <w:rPr>
      <w:rFonts w:eastAsia="MS PGothic"/>
      <w:sz w:val="22"/>
      <w:szCs w:val="22"/>
      <w:lang w:eastAsia="ja-JP"/>
    </w:rPr>
  </w:style>
  <w:style w:type="character" w:customStyle="1" w:styleId="TextMain2">
    <w:name w:val="Text Main 2 (文字)"/>
    <w:qFormat/>
    <w:rPr>
      <w:rFonts w:eastAsia="MS PGothic"/>
      <w:sz w:val="22"/>
      <w:szCs w:val="22"/>
      <w:lang w:eastAsia="ja-JP"/>
    </w:rPr>
  </w:style>
  <w:style w:type="character" w:customStyle="1" w:styleId="a">
    <w:name w:val="図タイトル (文字)"/>
    <w:qFormat/>
    <w:rPr>
      <w:rFonts w:ascii="Arial" w:eastAsia="MS PGothic" w:hAnsi="Arial" w:cs="Arial"/>
      <w:b/>
      <w:bCs/>
      <w:lang w:eastAsia="ja-JP"/>
    </w:rPr>
  </w:style>
  <w:style w:type="character" w:customStyle="1" w:styleId="a0">
    <w:name w:val="見出し４ (文字)"/>
    <w:qFormat/>
    <w:rPr>
      <w:rFonts w:ascii="Arial" w:eastAsia="MS Gothic;ＭＳ ゴシック" w:hAnsi="Arial" w:cs="Arial"/>
      <w:b/>
      <w:sz w:val="22"/>
      <w:szCs w:val="22"/>
    </w:rPr>
  </w:style>
  <w:style w:type="character" w:customStyle="1" w:styleId="Tablenote">
    <w:name w:val="Table note"/>
    <w:qFormat/>
    <w:rPr>
      <w:rFonts w:eastAsia="Arial Narrow"/>
      <w:sz w:val="18"/>
      <w:szCs w:val="18"/>
    </w:rPr>
  </w:style>
  <w:style w:type="character" w:customStyle="1" w:styleId="TableSourceNote">
    <w:name w:val="Table Source &amp; Note"/>
    <w:qFormat/>
    <w:rPr>
      <w:rFonts w:ascii="Arial" w:hAnsi="Arial" w:cs="Arial"/>
      <w:sz w:val="18"/>
      <w:szCs w:val="18"/>
    </w:rPr>
  </w:style>
  <w:style w:type="character" w:customStyle="1" w:styleId="FigureSource">
    <w:name w:val="Figure Source (文字)"/>
    <w:qFormat/>
    <w:rPr>
      <w:rFonts w:eastAsia="MS Mincho;ＭＳ 明朝"/>
      <w:kern w:val="2"/>
      <w:sz w:val="22"/>
      <w:szCs w:val="24"/>
    </w:rPr>
  </w:style>
  <w:style w:type="character" w:customStyle="1" w:styleId="a1">
    <w:name w:val="図表出所 (文字)"/>
    <w:qFormat/>
    <w:rPr>
      <w:rFonts w:ascii="Arial Narrow" w:eastAsia="Arial Narrow" w:hAnsi="Arial Narrow" w:cs="Arial Narrow"/>
      <w:kern w:val="2"/>
      <w:sz w:val="18"/>
    </w:rPr>
  </w:style>
  <w:style w:type="character" w:customStyle="1" w:styleId="Heading4Char">
    <w:name w:val="Heading 4 Char"/>
    <w:qFormat/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</w:style>
  <w:style w:type="character" w:customStyle="1" w:styleId="AktiChar">
    <w:name w:val="Akti Char"/>
    <w:qFormat/>
    <w:rPr>
      <w:rFonts w:ascii="CG Times" w:hAnsi="CG Times" w:cs="CG Times"/>
      <w:b/>
      <w:caps/>
      <w:color w:val="000000"/>
      <w:lang w:val="en-GB" w:bidi="ar-SA"/>
    </w:rPr>
  </w:style>
  <w:style w:type="character" w:customStyle="1" w:styleId="NumriDataChar">
    <w:name w:val="Numri_Data Char"/>
    <w:qFormat/>
    <w:rPr>
      <w:rFonts w:ascii="CG Times" w:hAnsi="CG Times" w:cs="CG Times"/>
      <w:b/>
      <w:lang w:val="en-GB" w:bidi="ar-SA"/>
    </w:rPr>
  </w:style>
  <w:style w:type="character" w:customStyle="1" w:styleId="TitulliChar">
    <w:name w:val="Titulli Char"/>
    <w:qFormat/>
    <w:rPr>
      <w:rFonts w:ascii="CG Times" w:hAnsi="CG Times" w:cs="CG Times"/>
      <w:b/>
      <w:caps/>
      <w:lang w:val="en-GB" w:bidi="ar-SA"/>
    </w:rPr>
  </w:style>
  <w:style w:type="character" w:customStyle="1" w:styleId="VENDOSIChar">
    <w:name w:val="VENDOSI Char"/>
    <w:qFormat/>
    <w:rPr>
      <w:rFonts w:ascii="CG Times" w:hAnsi="CG Times" w:cs="CG Times"/>
      <w:caps/>
      <w:lang w:val="en-GB" w:bidi="ar-SA"/>
    </w:rPr>
  </w:style>
  <w:style w:type="character" w:customStyle="1" w:styleId="a2">
    <w:name w:val="出所 (文字)"/>
    <w:qFormat/>
    <w:rPr>
      <w:rFonts w:ascii="Arial Narrow" w:eastAsia="MS PGothic" w:hAnsi="Arial Narrow" w:cs="Arial"/>
      <w:b/>
      <w:bCs/>
      <w:sz w:val="18"/>
      <w:lang w:eastAsia="ja-JP"/>
    </w:rPr>
  </w:style>
  <w:style w:type="character" w:customStyle="1" w:styleId="BodyTextIndent3Char">
    <w:name w:val="Body Text Indent 3 Char"/>
    <w:qFormat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Char">
    <w:name w:val="Body Text Indent Char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qFormat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Wingdings" w:hAnsi="Wingdings" w:cs="Wingdings"/>
      <w:b/>
      <w:i w:val="0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2z1">
    <w:name w:val="WW8Num2z1"/>
    <w:qFormat/>
  </w:style>
  <w:style w:type="character" w:customStyle="1" w:styleId="Fontiiparagrafittparazgjedhur1">
    <w:name w:val="Fonti i paragrafit të parazgjedhur1"/>
    <w:qFormat/>
  </w:style>
  <w:style w:type="character" w:customStyle="1" w:styleId="WW8Num36z0">
    <w:name w:val="WW8Num36z0"/>
    <w:qFormat/>
    <w:rPr>
      <w:rFonts w:ascii="Times New Roman" w:eastAsia="MS Mincho;Yu Gothic UI" w:hAnsi="Times New Roman" w:cs="Times New Roman"/>
      <w:sz w:val="24"/>
      <w:szCs w:val="24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MS Mincho;Yu Gothic UI" w:hAnsi="Times New Roman" w:cs="Times New Roman"/>
      <w:sz w:val="24"/>
      <w:szCs w:val="24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qFormat/>
    <w:pPr>
      <w:suppressAutoHyphens/>
      <w:snapToGrid w:val="0"/>
      <w:ind w:firstLine="480"/>
    </w:pPr>
    <w:rPr>
      <w:rFonts w:ascii="Times New Roman" w:eastAsia="Times New Roman" w:hAnsi="Times New Roman" w:cs="Times New Roman"/>
      <w:color w:val="000000"/>
      <w:kern w:val="2"/>
      <w:sz w:val="24"/>
      <w:szCs w:val="20"/>
      <w:lang w:val="en-US" w:bidi="ar-SA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280" w:after="280"/>
    </w:pPr>
    <w:rPr>
      <w:lang w:val="en-US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val="en-US" w:bidi="ar-SA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MS Mincho;ＭＳ 明朝"/>
      <w:lang w:val="en-US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odyText3">
    <w:name w:val="Body Text 3"/>
    <w:basedOn w:val="Normal"/>
    <w:qFormat/>
    <w:pPr>
      <w:spacing w:after="120"/>
    </w:pPr>
    <w:rPr>
      <w:rFonts w:eastAsia="MS Mincho;ＭＳ 明朝"/>
      <w:sz w:val="16"/>
      <w:szCs w:val="16"/>
      <w:lang w:val="en-US"/>
    </w:rPr>
  </w:style>
  <w:style w:type="paragraph" w:customStyle="1" w:styleId="TextMain0">
    <w:name w:val="Text Main"/>
    <w:basedOn w:val="Normal"/>
    <w:qFormat/>
    <w:pPr>
      <w:widowControl w:val="0"/>
      <w:snapToGrid w:val="0"/>
      <w:spacing w:line="320" w:lineRule="atLeast"/>
      <w:ind w:left="449"/>
      <w:jc w:val="both"/>
    </w:pPr>
    <w:rPr>
      <w:rFonts w:eastAsia="MS PGothic"/>
      <w:sz w:val="22"/>
      <w:szCs w:val="22"/>
      <w:lang w:val="en-US" w:eastAsia="ja-JP"/>
    </w:rPr>
  </w:style>
  <w:style w:type="paragraph" w:customStyle="1" w:styleId="TextMain20">
    <w:name w:val="Text Main 2"/>
    <w:basedOn w:val="Normal"/>
    <w:qFormat/>
    <w:pPr>
      <w:widowControl w:val="0"/>
      <w:snapToGrid w:val="0"/>
      <w:spacing w:line="320" w:lineRule="atLeast"/>
      <w:ind w:left="808"/>
      <w:jc w:val="both"/>
    </w:pPr>
    <w:rPr>
      <w:rFonts w:eastAsia="MS PGothic"/>
      <w:sz w:val="22"/>
      <w:szCs w:val="22"/>
      <w:lang w:val="en-US" w:eastAsia="ja-JP"/>
    </w:rPr>
  </w:style>
  <w:style w:type="paragraph" w:customStyle="1" w:styleId="a3">
    <w:name w:val="図タイトル"/>
    <w:basedOn w:val="Normal"/>
    <w:qFormat/>
    <w:pPr>
      <w:widowControl w:val="0"/>
      <w:snapToGrid w:val="0"/>
      <w:spacing w:after="120" w:line="300" w:lineRule="atLeast"/>
      <w:jc w:val="center"/>
      <w:textAlignment w:val="baseline"/>
    </w:pPr>
    <w:rPr>
      <w:rFonts w:ascii="Arial" w:eastAsia="MS PGothic" w:hAnsi="Arial" w:cs="Arial"/>
      <w:b/>
      <w:bCs/>
      <w:sz w:val="20"/>
      <w:szCs w:val="20"/>
      <w:lang w:val="en-US" w:eastAsia="ja-JP"/>
    </w:rPr>
  </w:style>
  <w:style w:type="paragraph" w:customStyle="1" w:styleId="a4">
    <w:name w:val="見出し４"/>
    <w:basedOn w:val="Heading4"/>
    <w:qFormat/>
    <w:pPr>
      <w:keepNext w:val="0"/>
      <w:widowControl w:val="0"/>
      <w:numPr>
        <w:ilvl w:val="0"/>
        <w:numId w:val="0"/>
      </w:numPr>
      <w:snapToGrid w:val="0"/>
      <w:spacing w:before="200" w:after="0"/>
      <w:jc w:val="both"/>
    </w:pPr>
    <w:rPr>
      <w:rFonts w:ascii="Arial" w:eastAsia="MS Gothic;ＭＳ ゴシック" w:hAnsi="Arial" w:cs="Arial"/>
      <w:bCs w:val="0"/>
      <w:sz w:val="22"/>
      <w:szCs w:val="22"/>
      <w:lang w:val="en-US"/>
    </w:rPr>
  </w:style>
  <w:style w:type="paragraph" w:customStyle="1" w:styleId="FigureSource0">
    <w:name w:val="Figure Source"/>
    <w:basedOn w:val="Normal"/>
    <w:qFormat/>
    <w:pPr>
      <w:widowControl w:val="0"/>
      <w:jc w:val="right"/>
    </w:pPr>
    <w:rPr>
      <w:rFonts w:eastAsia="MS Mincho;ＭＳ 明朝"/>
      <w:sz w:val="22"/>
      <w:lang w:val="en-US"/>
    </w:rPr>
  </w:style>
  <w:style w:type="paragraph" w:customStyle="1" w:styleId="a5">
    <w:name w:val="図表出所"/>
    <w:basedOn w:val="Normal"/>
    <w:qFormat/>
    <w:pPr>
      <w:widowControl w:val="0"/>
      <w:tabs>
        <w:tab w:val="left" w:pos="2182"/>
      </w:tabs>
      <w:snapToGrid w:val="0"/>
      <w:jc w:val="both"/>
    </w:pPr>
    <w:rPr>
      <w:rFonts w:ascii="Arial Narrow" w:eastAsia="Arial Narrow" w:hAnsi="Arial Narrow" w:cs="Arial Narrow"/>
      <w:sz w:val="18"/>
      <w:szCs w:val="20"/>
      <w:lang w:val="en-US"/>
    </w:rPr>
  </w:style>
  <w:style w:type="paragraph" w:customStyle="1" w:styleId="akti">
    <w:name w:val="akti"/>
    <w:basedOn w:val="Normal"/>
    <w:qFormat/>
    <w:pPr>
      <w:spacing w:before="280" w:after="280"/>
    </w:pPr>
    <w:rPr>
      <w:lang w:val="en-US"/>
    </w:rPr>
  </w:style>
  <w:style w:type="paragraph" w:customStyle="1" w:styleId="paragrafi">
    <w:name w:val="paragrafi"/>
    <w:basedOn w:val="Normal"/>
    <w:qFormat/>
    <w:pPr>
      <w:spacing w:before="280" w:after="280"/>
    </w:pPr>
    <w:rPr>
      <w:lang w:val="en-US"/>
    </w:rPr>
  </w:style>
  <w:style w:type="paragraph" w:customStyle="1" w:styleId="Akti0">
    <w:name w:val="Akti"/>
    <w:qFormat/>
    <w:pPr>
      <w:keepNext/>
      <w:widowControl w:val="0"/>
      <w:suppressAutoHyphens/>
      <w:jc w:val="center"/>
    </w:pPr>
    <w:rPr>
      <w:rFonts w:ascii="CG Times" w:eastAsia="Times New Roman" w:hAnsi="CG Times" w:cs="CG Times"/>
      <w:b/>
      <w:caps/>
      <w:color w:val="000000"/>
      <w:kern w:val="2"/>
      <w:szCs w:val="20"/>
      <w:lang w:bidi="ar-SA"/>
    </w:rPr>
  </w:style>
  <w:style w:type="paragraph" w:customStyle="1" w:styleId="Autoriteti">
    <w:name w:val="Autoriteti"/>
    <w:next w:val="Normal"/>
    <w:qFormat/>
    <w:pPr>
      <w:keepNext/>
      <w:widowControl w:val="0"/>
      <w:suppressAutoHyphens/>
      <w:jc w:val="right"/>
    </w:pPr>
    <w:rPr>
      <w:rFonts w:ascii="CG Times" w:eastAsia="Times New Roman" w:hAnsi="CG Times" w:cs="CG Times"/>
      <w:caps/>
      <w:kern w:val="2"/>
      <w:sz w:val="22"/>
      <w:szCs w:val="22"/>
      <w:lang w:bidi="ar-SA"/>
    </w:rPr>
  </w:style>
  <w:style w:type="paragraph" w:customStyle="1" w:styleId="AutoritetiEmer">
    <w:name w:val="Autoriteti_Emer"/>
    <w:next w:val="Normal"/>
    <w:qFormat/>
    <w:pPr>
      <w:widowControl w:val="0"/>
      <w:suppressAutoHyphens/>
      <w:jc w:val="right"/>
    </w:pPr>
    <w:rPr>
      <w:rFonts w:ascii="CG Times" w:eastAsia="Times New Roman" w:hAnsi="CG Times" w:cs="CG Times"/>
      <w:b/>
      <w:kern w:val="2"/>
      <w:sz w:val="22"/>
      <w:szCs w:val="22"/>
      <w:lang w:bidi="ar-SA"/>
    </w:rPr>
  </w:style>
  <w:style w:type="paragraph" w:customStyle="1" w:styleId="BazLigjPropozues">
    <w:name w:val="Baz_Ligj_Propozues"/>
    <w:qFormat/>
    <w:pPr>
      <w:keepNext/>
      <w:widowControl w:val="0"/>
      <w:suppressAutoHyphens/>
      <w:ind w:firstLine="720"/>
      <w:jc w:val="both"/>
    </w:pPr>
    <w:rPr>
      <w:rFonts w:ascii="CG Times" w:eastAsia="Times New Roman" w:hAnsi="CG Times" w:cs="CG Times"/>
      <w:color w:val="000000"/>
      <w:kern w:val="2"/>
      <w:sz w:val="22"/>
      <w:szCs w:val="22"/>
      <w:lang w:bidi="ar-SA"/>
    </w:rPr>
  </w:style>
  <w:style w:type="paragraph" w:customStyle="1" w:styleId="NumriData">
    <w:name w:val="Numri_Data"/>
    <w:next w:val="Normal"/>
    <w:qFormat/>
    <w:pPr>
      <w:keepNext/>
      <w:widowControl w:val="0"/>
      <w:suppressAutoHyphens/>
      <w:jc w:val="center"/>
    </w:pPr>
    <w:rPr>
      <w:rFonts w:ascii="CG Times" w:eastAsia="Times New Roman" w:hAnsi="CG Times" w:cs="CG Times"/>
      <w:b/>
      <w:kern w:val="2"/>
      <w:szCs w:val="20"/>
      <w:lang w:bidi="ar-SA"/>
    </w:rPr>
  </w:style>
  <w:style w:type="paragraph" w:customStyle="1" w:styleId="Paragrafi0">
    <w:name w:val="Paragrafi"/>
    <w:qFormat/>
    <w:pPr>
      <w:widowControl w:val="0"/>
      <w:suppressAutoHyphens/>
      <w:ind w:firstLine="720"/>
      <w:jc w:val="both"/>
    </w:pPr>
    <w:rPr>
      <w:rFonts w:ascii="CG Times" w:eastAsia="Times New Roman" w:hAnsi="CG Times" w:cs="CG Times"/>
      <w:kern w:val="2"/>
      <w:sz w:val="22"/>
      <w:szCs w:val="20"/>
      <w:lang w:val="en-US" w:bidi="ar-SA"/>
    </w:rPr>
  </w:style>
  <w:style w:type="paragraph" w:customStyle="1" w:styleId="Titulli">
    <w:name w:val="Titulli"/>
    <w:next w:val="Normal"/>
    <w:qFormat/>
    <w:pPr>
      <w:keepNext/>
      <w:widowControl w:val="0"/>
      <w:suppressAutoHyphens/>
      <w:jc w:val="center"/>
    </w:pPr>
    <w:rPr>
      <w:rFonts w:ascii="CG Times" w:eastAsia="Times New Roman" w:hAnsi="CG Times" w:cs="CG Times"/>
      <w:b/>
      <w:caps/>
      <w:kern w:val="2"/>
      <w:szCs w:val="20"/>
      <w:lang w:bidi="ar-SA"/>
    </w:rPr>
  </w:style>
  <w:style w:type="paragraph" w:customStyle="1" w:styleId="TitulliTitull">
    <w:name w:val="Titulli_Titull"/>
    <w:qFormat/>
    <w:pPr>
      <w:keepNext/>
      <w:widowControl w:val="0"/>
      <w:suppressAutoHyphens/>
      <w:jc w:val="center"/>
    </w:pPr>
    <w:rPr>
      <w:rFonts w:ascii="CG Times" w:eastAsia="Times New Roman" w:hAnsi="CG Times" w:cs="CG Times"/>
      <w:caps/>
      <w:kern w:val="2"/>
      <w:sz w:val="22"/>
      <w:szCs w:val="22"/>
      <w:lang w:bidi="ar-SA"/>
    </w:rPr>
  </w:style>
  <w:style w:type="paragraph" w:customStyle="1" w:styleId="VENDOSI">
    <w:name w:val="VENDOSI"/>
    <w:next w:val="Normal"/>
    <w:qFormat/>
    <w:pPr>
      <w:keepNext/>
      <w:widowControl w:val="0"/>
      <w:suppressAutoHyphens/>
      <w:jc w:val="center"/>
    </w:pPr>
    <w:rPr>
      <w:rFonts w:ascii="CG Times" w:eastAsia="Times New Roman" w:hAnsi="CG Times" w:cs="CG Times"/>
      <w:caps/>
      <w:kern w:val="2"/>
      <w:szCs w:val="20"/>
      <w:lang w:bidi="ar-SA"/>
    </w:rPr>
  </w:style>
  <w:style w:type="paragraph" w:customStyle="1" w:styleId="a6">
    <w:name w:val="出所"/>
    <w:basedOn w:val="Normal"/>
    <w:qFormat/>
    <w:pPr>
      <w:widowControl w:val="0"/>
      <w:snapToGrid w:val="0"/>
      <w:spacing w:line="320" w:lineRule="atLeast"/>
      <w:jc w:val="center"/>
      <w:textAlignment w:val="baseline"/>
    </w:pPr>
    <w:rPr>
      <w:rFonts w:ascii="Arial Narrow" w:eastAsia="MS PGothic" w:hAnsi="Arial Narrow" w:cs="Arial Narrow"/>
      <w:b/>
      <w:bCs/>
      <w:sz w:val="18"/>
      <w:szCs w:val="20"/>
      <w:lang w:val="en-US" w:eastAsia="ja-JP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Verdana" w:eastAsia="Times New Roman" w:hAnsi="Verdana" w:cs="Verdana"/>
      <w:color w:val="000000"/>
      <w:kern w:val="2"/>
      <w:sz w:val="24"/>
      <w:lang w:val="en-US" w:bidi="ar-SA"/>
    </w:rPr>
  </w:style>
  <w:style w:type="paragraph" w:customStyle="1" w:styleId="xmsobodytext">
    <w:name w:val="x_msobodytext"/>
    <w:basedOn w:val="Normal"/>
    <w:qFormat/>
    <w:rPr>
      <w:rFonts w:eastAsia="Calibri"/>
      <w:lang w:val="en-US"/>
    </w:rPr>
  </w:style>
  <w:style w:type="paragraph" w:customStyle="1" w:styleId="Char">
    <w:name w:val="Char"/>
    <w:basedOn w:val="Normal"/>
    <w:qFormat/>
    <w:pPr>
      <w:spacing w:after="160" w:line="240" w:lineRule="exact"/>
    </w:pPr>
    <w:rPr>
      <w:rFonts w:ascii="Tahoma" w:eastAsia="MS Mincho;ＭＳ 明朝" w:hAnsi="Tahoma" w:cs="Tahoma"/>
      <w:sz w:val="20"/>
      <w:szCs w:val="20"/>
      <w:lang w:val="sq-AL"/>
    </w:rPr>
  </w:style>
  <w:style w:type="paragraph" w:customStyle="1" w:styleId="FrameContents">
    <w:name w:val="Frame Contents"/>
    <w:basedOn w:val="Normal"/>
    <w:qFormat/>
  </w:style>
  <w:style w:type="paragraph" w:customStyle="1" w:styleId="Pandarjemehapsira1">
    <w:name w:val="Pa ndarje me hapësira1"/>
    <w:qFormat/>
    <w:rPr>
      <w:rFonts w:ascii="Liberation Serif;Times New Roma" w:eastAsia="SimSun" w:hAnsi="Liberation Serif;Times New Roma" w:cs="Lucida Sans"/>
      <w:color w:val="00000A"/>
      <w:sz w:val="24"/>
      <w:lang w:val="sq-AL" w:eastAsia="sq-AL"/>
    </w:rPr>
  </w:style>
  <w:style w:type="paragraph" w:customStyle="1" w:styleId="Fundiifaqes1">
    <w:name w:val="Fundi i faqes1"/>
    <w:basedOn w:val="Normal"/>
    <w:qFormat/>
    <w:pPr>
      <w:suppressLineNumbers/>
      <w:tabs>
        <w:tab w:val="center" w:pos="4986"/>
        <w:tab w:val="right" w:pos="9972"/>
      </w:tabs>
    </w:pPr>
  </w:style>
  <w:style w:type="numbering" w:customStyle="1" w:styleId="WW8Num1">
    <w:name w:val="WW8Num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Relacion</vt:lpstr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</dc:title>
  <dc:subject/>
  <dc:creator>Alketi</dc:creator>
  <dc:description/>
  <cp:lastModifiedBy>Esmeralda Demiraj</cp:lastModifiedBy>
  <cp:revision>3</cp:revision>
  <cp:lastPrinted>2019-10-30T10:01:00Z</cp:lastPrinted>
  <dcterms:created xsi:type="dcterms:W3CDTF">2019-10-30T08:40:00Z</dcterms:created>
  <dcterms:modified xsi:type="dcterms:W3CDTF">2019-10-30T10:01:00Z</dcterms:modified>
  <dc:language>en-US</dc:language>
</cp:coreProperties>
</file>